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590" w:lineRule="exact"/>
        <w:jc w:val="center"/>
        <w:textAlignment w:val="auto"/>
        <w:outlineLvl w:val="9"/>
        <w:rPr>
          <w:rFonts w:hint="default" w:ascii="Times New Roman" w:hAnsi="Times New Roman" w:eastAsia="方正小标宋简体" w:cs="Times New Roman"/>
          <w:b/>
          <w:color w:val="000000"/>
          <w:spacing w:val="-4"/>
          <w:kern w:val="0"/>
          <w:sz w:val="21"/>
          <w:szCs w:val="21"/>
          <w:lang w:val="en-US" w:eastAsia="zh-CN" w:bidi="ar"/>
        </w:rPr>
      </w:pPr>
    </w:p>
    <w:p>
      <w:pPr>
        <w:pStyle w:val="11"/>
        <w:keepNext w:val="0"/>
        <w:keepLines w:val="0"/>
        <w:pageBreakBefore w:val="0"/>
        <w:widowControl/>
        <w:kinsoku/>
        <w:wordWrap/>
        <w:overflowPunct/>
        <w:topLinePunct w:val="0"/>
        <w:autoSpaceDE/>
        <w:autoSpaceDN/>
        <w:bidi w:val="0"/>
        <w:adjustRightInd/>
        <w:snapToGrid/>
        <w:spacing w:line="590" w:lineRule="exact"/>
        <w:textAlignment w:val="baseline"/>
        <w:rPr>
          <w:rFonts w:hint="default" w:ascii="Times New Roman" w:hAnsi="Times New Roman" w:cs="Times New Roman"/>
          <w:spacing w:val="-4"/>
          <w:lang w:val="en-US" w:eastAsia="zh-CN"/>
        </w:rPr>
      </w:pPr>
    </w:p>
    <w:p>
      <w:pPr>
        <w:pStyle w:val="18"/>
        <w:keepNext w:val="0"/>
        <w:keepLines w:val="0"/>
        <w:pageBreakBefore w:val="0"/>
        <w:widowControl/>
        <w:kinsoku/>
        <w:wordWrap/>
        <w:overflowPunct/>
        <w:topLinePunct w:val="0"/>
        <w:autoSpaceDE/>
        <w:autoSpaceDN/>
        <w:bidi w:val="0"/>
        <w:adjustRightInd/>
        <w:snapToGrid/>
        <w:spacing w:after="0" w:line="600" w:lineRule="exact"/>
        <w:ind w:left="0" w:leftChars="0" w:firstLine="0" w:firstLineChars="0"/>
        <w:textAlignment w:val="baseline"/>
        <w:rPr>
          <w:rFonts w:hint="default" w:ascii="Times New Roman" w:hAnsi="Times New Roman" w:cs="Times New Roman"/>
          <w:spacing w:val="-4"/>
          <w:sz w:val="44"/>
          <w:szCs w:val="44"/>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864" w:firstLineChars="200"/>
        <w:jc w:val="center"/>
        <w:textAlignment w:val="auto"/>
        <w:rPr>
          <w:rFonts w:hint="default" w:ascii="Times New Roman" w:hAnsi="Times New Roman" w:eastAsia="方正小标宋简体" w:cs="Times New Roman"/>
          <w:color w:val="000000"/>
          <w:spacing w:val="-4"/>
          <w:sz w:val="44"/>
          <w:szCs w:val="44"/>
        </w:rPr>
      </w:pPr>
      <w:r>
        <w:rPr>
          <w:rFonts w:hint="default" w:ascii="Times New Roman" w:hAnsi="Times New Roman" w:eastAsia="方正小标宋简体" w:cs="Times New Roman"/>
          <w:color w:val="000000"/>
          <w:spacing w:val="-4"/>
          <w:sz w:val="44"/>
          <w:szCs w:val="44"/>
          <w:lang w:eastAsia="zh-CN"/>
        </w:rPr>
        <w:t>大英县商</w:t>
      </w:r>
      <w:r>
        <w:rPr>
          <w:rFonts w:hint="default" w:ascii="Times New Roman" w:hAnsi="Times New Roman" w:eastAsia="方正小标宋简体" w:cs="Times New Roman"/>
          <w:color w:val="000000"/>
          <w:spacing w:val="-4"/>
          <w:sz w:val="44"/>
          <w:szCs w:val="44"/>
          <w:highlight w:val="none"/>
          <w:lang w:eastAsia="zh-CN"/>
        </w:rPr>
        <w:t>务和经</w:t>
      </w:r>
      <w:r>
        <w:rPr>
          <w:rFonts w:hint="default" w:ascii="Times New Roman" w:hAnsi="Times New Roman" w:eastAsia="方正小标宋简体" w:cs="Times New Roman"/>
          <w:color w:val="000000"/>
          <w:spacing w:val="-4"/>
          <w:sz w:val="44"/>
          <w:szCs w:val="44"/>
          <w:lang w:eastAsia="zh-CN"/>
        </w:rPr>
        <w:t>济合作局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864" w:firstLineChars="200"/>
        <w:jc w:val="center"/>
        <w:textAlignment w:val="auto"/>
        <w:rPr>
          <w:rFonts w:hint="default" w:ascii="Times New Roman" w:hAnsi="Times New Roman" w:eastAsia="方正小标宋简体" w:cs="Times New Roman"/>
          <w:spacing w:val="-4"/>
          <w:sz w:val="44"/>
          <w:szCs w:val="44"/>
          <w:lang w:val="en-US" w:eastAsia="zh-CN"/>
        </w:rPr>
      </w:pPr>
      <w:r>
        <w:rPr>
          <w:rFonts w:hint="eastAsia" w:ascii="Times New Roman" w:hAnsi="Times New Roman" w:eastAsia="方正小标宋简体" w:cs="方正小标宋简体"/>
          <w:spacing w:val="-4"/>
          <w:sz w:val="44"/>
          <w:szCs w:val="44"/>
          <w:lang w:val="en-US" w:eastAsia="zh-CN"/>
        </w:rPr>
        <w:t>关于</w:t>
      </w:r>
      <w:r>
        <w:rPr>
          <w:rFonts w:hint="eastAsia" w:ascii="Times New Roman" w:hAnsi="Times New Roman" w:eastAsia="方正小标宋简体"/>
          <w:spacing w:val="-4"/>
          <w:sz w:val="44"/>
          <w:szCs w:val="44"/>
          <w:lang w:val="en-US" w:eastAsia="zh-CN"/>
        </w:rPr>
        <w:t>项目支出绩效自评</w:t>
      </w:r>
      <w:r>
        <w:rPr>
          <w:rFonts w:hint="eastAsia" w:ascii="Times New Roman" w:hAnsi="Times New Roman" w:eastAsia="方正小标宋简体" w:cs="方正小标宋简体"/>
          <w:spacing w:val="-4"/>
          <w:sz w:val="44"/>
          <w:szCs w:val="44"/>
          <w:lang w:val="en-US" w:eastAsia="zh-CN"/>
        </w:rPr>
        <w:t>报</w:t>
      </w:r>
      <w:r>
        <w:rPr>
          <w:rFonts w:hint="default" w:ascii="Times New Roman" w:hAnsi="Times New Roman" w:eastAsia="方正小标宋简体" w:cs="Times New Roman"/>
          <w:spacing w:val="-4"/>
          <w:sz w:val="44"/>
          <w:szCs w:val="44"/>
          <w:lang w:val="en-US" w:eastAsia="zh-CN"/>
        </w:rPr>
        <w:t>告</w:t>
      </w:r>
    </w:p>
    <w:p>
      <w:pPr>
        <w:keepNext w:val="0"/>
        <w:keepLines w:val="0"/>
        <w:pageBreakBefore w:val="0"/>
        <w:widowControl w:val="0"/>
        <w:tabs>
          <w:tab w:val="left" w:pos="3885"/>
        </w:tabs>
        <w:kinsoku/>
        <w:wordWrap/>
        <w:overflowPunct/>
        <w:topLinePunct w:val="0"/>
        <w:autoSpaceDE/>
        <w:autoSpaceDN/>
        <w:bidi w:val="0"/>
        <w:adjustRightInd/>
        <w:snapToGrid w:val="0"/>
        <w:spacing w:line="590" w:lineRule="exact"/>
        <w:ind w:left="0" w:leftChars="0" w:right="0" w:firstLine="627" w:firstLineChars="200"/>
        <w:jc w:val="center"/>
        <w:textAlignment w:val="auto"/>
        <w:outlineLvl w:val="9"/>
        <w:rPr>
          <w:rFonts w:hint="default" w:ascii="Times New Roman" w:hAnsi="Times New Roman" w:eastAsia="方正小标宋简体" w:cs="Times New Roman"/>
          <w:b/>
          <w:bCs/>
          <w:spacing w:val="-4"/>
          <w:sz w:val="32"/>
          <w:szCs w:val="32"/>
          <w:lang w:val="en-US" w:eastAsia="zh-CN"/>
        </w:rPr>
      </w:pPr>
      <w:r>
        <w:rPr>
          <w:rFonts w:hint="eastAsia" w:ascii="Times New Roman" w:hAnsi="Times New Roman" w:eastAsia="楷体_GB2312" w:cs="楷体_GB2312"/>
          <w:b/>
          <w:bCs/>
          <w:spacing w:val="-4"/>
          <w:sz w:val="32"/>
          <w:szCs w:val="32"/>
        </w:rPr>
        <w:t>（2023年消费券活动项目）</w:t>
      </w:r>
    </w:p>
    <w:p>
      <w:pPr>
        <w:keepNext w:val="0"/>
        <w:keepLines w:val="0"/>
        <w:pageBreakBefore w:val="0"/>
        <w:widowControl w:val="0"/>
        <w:numPr>
          <w:ilvl w:val="0"/>
          <w:numId w:val="0"/>
        </w:numPr>
        <w:kinsoku/>
        <w:wordWrap/>
        <w:overflowPunct/>
        <w:topLinePunct w:val="0"/>
        <w:autoSpaceDE/>
        <w:autoSpaceDN/>
        <w:bidi w:val="0"/>
        <w:adjustRightInd w:val="0"/>
        <w:snapToGrid w:val="0"/>
        <w:spacing w:line="590" w:lineRule="exact"/>
        <w:ind w:left="0" w:leftChars="0" w:right="0" w:rightChars="0" w:firstLine="624" w:firstLineChars="200"/>
        <w:jc w:val="both"/>
        <w:textAlignment w:val="baseline"/>
        <w:outlineLvl w:val="9"/>
        <w:rPr>
          <w:rFonts w:hint="default" w:ascii="Times New Roman" w:hAnsi="Times New Roman" w:eastAsia="仿宋_GB2312" w:cs="Times New Roman"/>
          <w:color w:val="000000"/>
          <w:spacing w:val="-4"/>
          <w:sz w:val="32"/>
          <w:lang w:val="en-US" w:eastAsia="zh-CN"/>
        </w:rPr>
      </w:pP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4" w:firstLineChars="200"/>
        <w:jc w:val="left"/>
        <w:textAlignment w:val="auto"/>
        <w:outlineLvl w:val="9"/>
        <w:rPr>
          <w:rFonts w:hint="eastAsia" w:ascii="Times New Roman" w:hAnsi="Times New Roman" w:eastAsia="黑体" w:cs="黑体"/>
          <w:spacing w:val="-4"/>
          <w:sz w:val="32"/>
          <w:szCs w:val="32"/>
          <w:lang w:eastAsia="zh-CN"/>
        </w:rPr>
      </w:pPr>
      <w:r>
        <w:rPr>
          <w:rFonts w:hint="eastAsia" w:ascii="Times New Roman" w:hAnsi="Times New Roman" w:eastAsia="黑体" w:cs="黑体"/>
          <w:spacing w:val="-4"/>
          <w:sz w:val="32"/>
          <w:szCs w:val="32"/>
          <w:lang w:val="en-US" w:eastAsia="zh-CN"/>
        </w:rPr>
        <w:t>一、</w:t>
      </w:r>
      <w:r>
        <w:rPr>
          <w:rFonts w:hint="eastAsia" w:ascii="Times New Roman" w:hAnsi="Times New Roman" w:eastAsia="黑体" w:cs="黑体"/>
          <w:spacing w:val="-4"/>
          <w:sz w:val="32"/>
          <w:szCs w:val="32"/>
          <w:lang w:eastAsia="zh-CN"/>
        </w:rPr>
        <w:t>基本情况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eastAsia="zh-CN"/>
        </w:rPr>
      </w:pPr>
      <w:r>
        <w:rPr>
          <w:rFonts w:hint="eastAsia" w:ascii="Times New Roman" w:hAnsi="Times New Roman" w:eastAsia="楷体_GB2312" w:cs="楷体_GB2312"/>
          <w:b/>
          <w:spacing w:val="-4"/>
          <w:sz w:val="32"/>
          <w:szCs w:val="32"/>
        </w:rPr>
        <w:t>（一）</w:t>
      </w:r>
      <w:r>
        <w:rPr>
          <w:rFonts w:hint="eastAsia" w:ascii="Times New Roman" w:hAnsi="Times New Roman" w:eastAsia="楷体_GB2312" w:cs="楷体_GB2312"/>
          <w:b/>
          <w:spacing w:val="-4"/>
          <w:sz w:val="32"/>
          <w:szCs w:val="32"/>
          <w:lang w:eastAsia="zh-CN"/>
        </w:rPr>
        <w:t>项目概况</w:t>
      </w:r>
    </w:p>
    <w:p>
      <w:pPr>
        <w:keepNext w:val="0"/>
        <w:keepLines w:val="0"/>
        <w:pageBreakBefore w:val="0"/>
        <w:widowControl/>
        <w:kinsoku/>
        <w:wordWrap/>
        <w:overflowPunct/>
        <w:topLinePunct w:val="0"/>
        <w:autoSpaceDE/>
        <w:autoSpaceDN/>
        <w:bidi w:val="0"/>
        <w:adjustRightInd w:val="0"/>
        <w:snapToGrid w:val="0"/>
        <w:spacing w:line="590" w:lineRule="exact"/>
        <w:ind w:left="0" w:firstLine="624" w:firstLineChars="200"/>
        <w:jc w:val="both"/>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b w:val="0"/>
          <w:bCs w:val="0"/>
          <w:spacing w:val="-4"/>
          <w:sz w:val="32"/>
          <w:szCs w:val="32"/>
          <w:lang w:val="en-US" w:eastAsia="zh-CN"/>
        </w:rPr>
        <w:t>根据</w:t>
      </w:r>
      <w:r>
        <w:rPr>
          <w:rFonts w:hint="eastAsia" w:ascii="Times New Roman" w:hAnsi="Times New Roman" w:eastAsia="仿宋_GB2312" w:cs="仿宋_GB2312"/>
          <w:spacing w:val="-4"/>
          <w:sz w:val="32"/>
          <w:szCs w:val="32"/>
          <w:lang w:eastAsia="zh-CN"/>
        </w:rPr>
        <w:t>《大英县商务和经济合作局大英县财政局&lt;关于进一步恢复和扩大消费若干政策&gt;的通知》（大商务经合〔</w:t>
      </w:r>
      <w:r>
        <w:rPr>
          <w:rFonts w:hint="eastAsia" w:ascii="Times New Roman" w:hAnsi="Times New Roman" w:eastAsia="仿宋_GB2312" w:cs="仿宋_GB2312"/>
          <w:spacing w:val="-4"/>
          <w:sz w:val="32"/>
          <w:szCs w:val="32"/>
          <w:lang w:val="en-US" w:eastAsia="zh-CN"/>
        </w:rPr>
        <w:t>2023〕2号）、《大英县人民政府</w:t>
      </w:r>
      <w:r>
        <w:rPr>
          <w:rFonts w:hint="eastAsia" w:ascii="Times New Roman" w:hAnsi="Times New Roman" w:eastAsia="仿宋_GB2312" w:cs="仿宋_GB2312"/>
          <w:spacing w:val="-4"/>
          <w:sz w:val="32"/>
          <w:szCs w:val="32"/>
          <w:lang w:eastAsia="zh-CN"/>
        </w:rPr>
        <w:t>关于印发&lt;聚焦高质量发展推动经济运行持续向好的若干政策措施&gt;的通知》（大府发〔</w:t>
      </w:r>
      <w:r>
        <w:rPr>
          <w:rFonts w:hint="eastAsia" w:ascii="Times New Roman" w:hAnsi="Times New Roman" w:eastAsia="仿宋_GB2312" w:cs="仿宋_GB2312"/>
          <w:spacing w:val="-4"/>
          <w:sz w:val="32"/>
          <w:szCs w:val="32"/>
          <w:lang w:val="en-US" w:eastAsia="zh-CN"/>
        </w:rPr>
        <w:t>2023〕4号）、《遂宁市商务局遂宁市财政局关于归集第二届中国（四川）国际熊猫消费节“蜀里安逸”消费券资金的紧急通知</w:t>
      </w:r>
      <w:r>
        <w:rPr>
          <w:rFonts w:hint="eastAsia" w:ascii="Times New Roman" w:hAnsi="Times New Roman" w:eastAsia="仿宋_GB2312" w:cs="仿宋_GB2312"/>
          <w:spacing w:val="-4"/>
          <w:sz w:val="32"/>
          <w:szCs w:val="32"/>
          <w:lang w:eastAsia="zh-CN"/>
        </w:rPr>
        <w:t>》（遂商务发〔</w:t>
      </w:r>
      <w:r>
        <w:rPr>
          <w:rFonts w:hint="eastAsia" w:ascii="Times New Roman" w:hAnsi="Times New Roman" w:eastAsia="仿宋_GB2312" w:cs="仿宋_GB2312"/>
          <w:spacing w:val="-4"/>
          <w:sz w:val="32"/>
          <w:szCs w:val="32"/>
          <w:lang w:val="en-US" w:eastAsia="zh-CN"/>
        </w:rPr>
        <w:t>2023〕29号）文件精神，2023年发放了375万元消费券。</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r>
        <w:rPr>
          <w:rFonts w:hint="eastAsia" w:ascii="Times New Roman" w:hAnsi="Times New Roman" w:eastAsia="楷体_GB2312" w:cs="楷体_GB2312"/>
          <w:b/>
          <w:spacing w:val="-4"/>
          <w:sz w:val="32"/>
          <w:szCs w:val="32"/>
          <w:lang w:val="en-US" w:eastAsia="zh-CN"/>
        </w:rPr>
        <w:t>（二）项目实施情况</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jc w:val="distribute"/>
        <w:textAlignment w:val="auto"/>
        <w:rPr>
          <w:rFonts w:hint="default" w:ascii="Times New Roman" w:hAnsi="Times New Roman" w:eastAsia="仿宋_GB2312" w:cs="仿宋_GB2312"/>
          <w:i w:val="0"/>
          <w:iCs w:val="0"/>
          <w:color w:val="000000"/>
          <w:spacing w:val="-4"/>
          <w:kern w:val="0"/>
          <w:sz w:val="32"/>
          <w:szCs w:val="32"/>
          <w:u w:val="none"/>
          <w:lang w:val="en-US" w:eastAsia="zh-CN" w:bidi="ar"/>
        </w:rPr>
        <w:sectPr>
          <w:pgSz w:w="11906" w:h="16838"/>
          <w:pgMar w:top="1928" w:right="1474" w:bottom="1928" w:left="1587" w:header="851" w:footer="992" w:gutter="0"/>
          <w:pgNumType w:fmt="decimal" w:start="2"/>
          <w:cols w:space="720" w:num="1"/>
          <w:rtlGutter w:val="0"/>
          <w:docGrid w:type="lines" w:linePitch="312" w:charSpace="0"/>
        </w:sectPr>
      </w:pPr>
      <w:r>
        <w:rPr>
          <w:rFonts w:hint="eastAsia" w:ascii="Times New Roman" w:hAnsi="Times New Roman" w:eastAsia="仿宋_GB2312" w:cs="仿宋_GB2312"/>
          <w:spacing w:val="-4"/>
          <w:sz w:val="32"/>
          <w:szCs w:val="32"/>
          <w:lang w:val="en-US" w:eastAsia="zh-CN"/>
        </w:rPr>
        <w:t>2023年发放了四次消费券：</w:t>
      </w:r>
      <w:r>
        <w:rPr>
          <w:rFonts w:hint="eastAsia" w:ascii="Times New Roman" w:hAnsi="Times New Roman" w:eastAsia="仿宋_GB2312" w:cs="仿宋_GB2312"/>
          <w:b/>
          <w:bCs/>
          <w:spacing w:val="-4"/>
          <w:sz w:val="32"/>
          <w:szCs w:val="32"/>
          <w:lang w:val="en-US" w:eastAsia="zh-CN"/>
        </w:rPr>
        <w:t>一是</w:t>
      </w:r>
      <w:r>
        <w:rPr>
          <w:rFonts w:hint="eastAsia" w:ascii="Times New Roman" w:hAnsi="Times New Roman" w:eastAsia="仿宋_GB2312" w:cs="仿宋_GB2312"/>
          <w:color w:val="auto"/>
          <w:spacing w:val="-4"/>
          <w:sz w:val="32"/>
          <w:szCs w:val="32"/>
          <w:lang w:val="en-US" w:eastAsia="zh-CN"/>
        </w:rPr>
        <w:t>2023年1</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16</w:t>
      </w:r>
      <w:r>
        <w:rPr>
          <w:rFonts w:hint="eastAsia" w:ascii="Times New Roman" w:hAnsi="Times New Roman" w:eastAsia="仿宋_GB2312" w:cs="仿宋_GB2312"/>
          <w:color w:val="auto"/>
          <w:spacing w:val="-4"/>
          <w:sz w:val="32"/>
          <w:szCs w:val="32"/>
          <w:lang w:eastAsia="zh-CN"/>
        </w:rPr>
        <w:t>日—</w:t>
      </w:r>
      <w:r>
        <w:rPr>
          <w:rFonts w:hint="eastAsia" w:ascii="Times New Roman" w:hAnsi="Times New Roman" w:eastAsia="仿宋_GB2312" w:cs="仿宋_GB2312"/>
          <w:color w:val="auto"/>
          <w:spacing w:val="-4"/>
          <w:sz w:val="32"/>
          <w:szCs w:val="32"/>
          <w:lang w:val="en-US" w:eastAsia="zh-CN"/>
        </w:rPr>
        <w:t>3</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31</w:t>
      </w:r>
      <w:r>
        <w:rPr>
          <w:rFonts w:hint="eastAsia" w:ascii="Times New Roman" w:hAnsi="Times New Roman" w:eastAsia="仿宋_GB2312" w:cs="仿宋_GB2312"/>
          <w:color w:val="auto"/>
          <w:spacing w:val="-4"/>
          <w:sz w:val="32"/>
          <w:szCs w:val="32"/>
          <w:lang w:eastAsia="zh-CN"/>
        </w:rPr>
        <w:t>日发放</w:t>
      </w:r>
      <w:r>
        <w:rPr>
          <w:rFonts w:hint="eastAsia" w:ascii="Times New Roman" w:hAnsi="Times New Roman" w:eastAsia="仿宋_GB2312" w:cs="仿宋_GB2312"/>
          <w:color w:val="auto"/>
          <w:spacing w:val="-4"/>
          <w:sz w:val="32"/>
          <w:szCs w:val="32"/>
          <w:lang w:val="en-US" w:eastAsia="zh-CN"/>
        </w:rPr>
        <w:t>200万元</w:t>
      </w:r>
      <w:r>
        <w:rPr>
          <w:rFonts w:hint="eastAsia" w:ascii="Times New Roman" w:hAnsi="Times New Roman" w:eastAsia="仿宋_GB2312" w:cs="仿宋_GB2312"/>
          <w:spacing w:val="-4"/>
          <w:sz w:val="32"/>
          <w:szCs w:val="32"/>
          <w:lang w:val="en-US" w:eastAsia="zh-CN"/>
        </w:rPr>
        <w:t>新春购物消费券，其中</w:t>
      </w:r>
      <w:r>
        <w:rPr>
          <w:rFonts w:hint="eastAsia" w:ascii="Times New Roman" w:hAnsi="Times New Roman" w:eastAsia="仿宋_GB2312" w:cs="仿宋_GB2312"/>
          <w:color w:val="auto"/>
          <w:spacing w:val="-4"/>
          <w:sz w:val="32"/>
          <w:szCs w:val="32"/>
          <w:lang w:val="en-US" w:eastAsia="zh-CN"/>
        </w:rPr>
        <w:t>政府匹配100万元，农商银行补贴100万元；</w:t>
      </w:r>
      <w:r>
        <w:rPr>
          <w:rFonts w:hint="eastAsia" w:ascii="Times New Roman" w:hAnsi="Times New Roman" w:eastAsia="仿宋_GB2312" w:cs="仿宋_GB2312"/>
          <w:b/>
          <w:bCs/>
          <w:color w:val="auto"/>
          <w:spacing w:val="-4"/>
          <w:sz w:val="32"/>
          <w:szCs w:val="32"/>
          <w:lang w:val="en-US" w:eastAsia="zh-CN"/>
        </w:rPr>
        <w:t>二是</w:t>
      </w:r>
      <w:r>
        <w:rPr>
          <w:rFonts w:hint="eastAsia" w:ascii="Times New Roman" w:hAnsi="Times New Roman" w:eastAsia="仿宋_GB2312" w:cs="仿宋_GB2312"/>
          <w:color w:val="auto"/>
          <w:spacing w:val="-4"/>
          <w:sz w:val="32"/>
          <w:szCs w:val="32"/>
          <w:lang w:val="en-US" w:eastAsia="zh-CN"/>
        </w:rPr>
        <w:t>2023年4</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27</w:t>
      </w:r>
      <w:r>
        <w:rPr>
          <w:rFonts w:hint="eastAsia" w:ascii="Times New Roman" w:hAnsi="Times New Roman" w:eastAsia="仿宋_GB2312" w:cs="仿宋_GB2312"/>
          <w:color w:val="auto"/>
          <w:spacing w:val="-4"/>
          <w:sz w:val="32"/>
          <w:szCs w:val="32"/>
          <w:lang w:eastAsia="zh-CN"/>
        </w:rPr>
        <w:t>日—</w:t>
      </w:r>
      <w:r>
        <w:rPr>
          <w:rFonts w:hint="eastAsia" w:ascii="Times New Roman" w:hAnsi="Times New Roman" w:eastAsia="仿宋_GB2312" w:cs="仿宋_GB2312"/>
          <w:color w:val="auto"/>
          <w:spacing w:val="-4"/>
          <w:sz w:val="32"/>
          <w:szCs w:val="32"/>
          <w:lang w:val="en-US" w:eastAsia="zh-CN"/>
        </w:rPr>
        <w:t>5</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31</w:t>
      </w:r>
      <w:r>
        <w:rPr>
          <w:rFonts w:hint="eastAsia" w:ascii="Times New Roman" w:hAnsi="Times New Roman" w:eastAsia="仿宋_GB2312" w:cs="仿宋_GB2312"/>
          <w:color w:val="auto"/>
          <w:spacing w:val="-4"/>
          <w:sz w:val="32"/>
          <w:szCs w:val="32"/>
          <w:lang w:eastAsia="zh-CN"/>
        </w:rPr>
        <w:t>日发放</w:t>
      </w:r>
      <w:r>
        <w:rPr>
          <w:rFonts w:hint="eastAsia" w:ascii="Times New Roman" w:hAnsi="Times New Roman" w:eastAsia="仿宋_GB2312" w:cs="仿宋_GB2312"/>
          <w:color w:val="auto"/>
          <w:spacing w:val="-4"/>
          <w:sz w:val="32"/>
          <w:szCs w:val="32"/>
          <w:lang w:val="en-US" w:eastAsia="zh-CN"/>
        </w:rPr>
        <w:t>100万元</w:t>
      </w:r>
      <w:r>
        <w:rPr>
          <w:rFonts w:hint="eastAsia" w:ascii="Times New Roman" w:hAnsi="Times New Roman" w:eastAsia="仿宋_GB2312" w:cs="仿宋_GB2312"/>
          <w:spacing w:val="-4"/>
          <w:sz w:val="32"/>
          <w:szCs w:val="32"/>
          <w:lang w:val="en-US" w:eastAsia="zh-CN"/>
        </w:rPr>
        <w:t>“大美大英</w:t>
      </w:r>
      <w:r>
        <w:rPr>
          <w:rFonts w:hint="eastAsia" w:ascii="Times New Roman" w:hAnsi="Times New Roman" w:eastAsia="仿宋_GB2312" w:cs="仿宋_GB2312"/>
          <w:spacing w:val="-4"/>
          <w:sz w:val="32"/>
          <w:szCs w:val="32"/>
          <w:lang w:eastAsia="zh-CN"/>
        </w:rPr>
        <w:t>·</w:t>
      </w:r>
      <w:r>
        <w:rPr>
          <w:rFonts w:hint="eastAsia" w:ascii="Times New Roman" w:hAnsi="Times New Roman" w:eastAsia="仿宋_GB2312" w:cs="仿宋_GB2312"/>
          <w:spacing w:val="-4"/>
          <w:sz w:val="32"/>
          <w:szCs w:val="32"/>
          <w:lang w:val="en-US" w:eastAsia="zh-CN"/>
        </w:rPr>
        <w:t>五月欢乐游”惠民消费券；</w:t>
      </w:r>
      <w:r>
        <w:rPr>
          <w:rFonts w:hint="eastAsia" w:ascii="Times New Roman" w:hAnsi="Times New Roman" w:eastAsia="仿宋_GB2312" w:cs="仿宋_GB2312"/>
          <w:b/>
          <w:bCs/>
          <w:spacing w:val="-4"/>
          <w:sz w:val="32"/>
          <w:szCs w:val="32"/>
          <w:lang w:val="en-US" w:eastAsia="zh-CN"/>
        </w:rPr>
        <w:t>三是</w:t>
      </w:r>
      <w:r>
        <w:rPr>
          <w:rFonts w:hint="eastAsia" w:ascii="Times New Roman" w:hAnsi="Times New Roman" w:eastAsia="仿宋_GB2312" w:cs="仿宋_GB2312"/>
          <w:i w:val="0"/>
          <w:iCs w:val="0"/>
          <w:color w:val="000000"/>
          <w:spacing w:val="-4"/>
          <w:kern w:val="0"/>
          <w:sz w:val="32"/>
          <w:szCs w:val="32"/>
          <w:u w:val="none"/>
          <w:lang w:val="en-US" w:eastAsia="zh-CN" w:bidi="ar"/>
        </w:rPr>
        <w:t>2023年4月</w:t>
      </w:r>
    </w:p>
    <w:p>
      <w:pPr>
        <w:keepNext w:val="0"/>
        <w:keepLines w:val="0"/>
        <w:pageBreakBefore w:val="0"/>
        <w:widowControl w:val="0"/>
        <w:kinsoku/>
        <w:wordWrap/>
        <w:overflowPunct/>
        <w:topLinePunct w:val="0"/>
        <w:autoSpaceDE/>
        <w:autoSpaceDN/>
        <w:bidi w:val="0"/>
        <w:adjustRightInd/>
        <w:snapToGrid/>
        <w:spacing w:line="590" w:lineRule="exact"/>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i w:val="0"/>
          <w:iCs w:val="0"/>
          <w:color w:val="000000"/>
          <w:spacing w:val="-4"/>
          <w:kern w:val="0"/>
          <w:sz w:val="32"/>
          <w:szCs w:val="32"/>
          <w:u w:val="none"/>
          <w:lang w:val="en-US" w:eastAsia="zh-CN" w:bidi="ar"/>
        </w:rPr>
        <w:t>26日—5月3日支持景区团购消费发放50万元</w:t>
      </w:r>
      <w:r>
        <w:rPr>
          <w:rFonts w:hint="eastAsia" w:ascii="Times New Roman" w:hAnsi="Times New Roman" w:eastAsia="仿宋_GB2312" w:cs="仿宋_GB2312"/>
          <w:spacing w:val="-4"/>
          <w:sz w:val="32"/>
          <w:szCs w:val="32"/>
          <w:lang w:val="en-US" w:eastAsia="zh-CN"/>
        </w:rPr>
        <w:t>“蜀里安逸·悦享大英”消费券；</w:t>
      </w:r>
      <w:bookmarkStart w:id="1" w:name="_GoBack"/>
      <w:r>
        <w:rPr>
          <w:rFonts w:hint="eastAsia" w:ascii="Times New Roman" w:hAnsi="Times New Roman" w:eastAsia="仿宋_GB2312" w:cs="仿宋_GB2312"/>
          <w:b/>
          <w:bCs/>
          <w:spacing w:val="-4"/>
          <w:sz w:val="32"/>
          <w:szCs w:val="32"/>
          <w:lang w:val="en-US" w:eastAsia="zh-CN"/>
        </w:rPr>
        <w:t>四是</w:t>
      </w:r>
      <w:bookmarkEnd w:id="1"/>
      <w:r>
        <w:rPr>
          <w:rFonts w:hint="eastAsia" w:ascii="Times New Roman" w:hAnsi="Times New Roman" w:eastAsia="仿宋_GB2312" w:cs="仿宋_GB2312"/>
          <w:color w:val="auto"/>
          <w:spacing w:val="-4"/>
          <w:sz w:val="32"/>
          <w:szCs w:val="32"/>
          <w:lang w:val="en-US" w:eastAsia="zh-CN"/>
        </w:rPr>
        <w:t>2023年8</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30</w:t>
      </w:r>
      <w:r>
        <w:rPr>
          <w:rFonts w:hint="eastAsia" w:ascii="Times New Roman" w:hAnsi="Times New Roman" w:eastAsia="仿宋_GB2312" w:cs="仿宋_GB2312"/>
          <w:color w:val="auto"/>
          <w:spacing w:val="-4"/>
          <w:sz w:val="32"/>
          <w:szCs w:val="32"/>
          <w:lang w:eastAsia="zh-CN"/>
        </w:rPr>
        <w:t>日—</w:t>
      </w:r>
      <w:r>
        <w:rPr>
          <w:rFonts w:hint="eastAsia" w:ascii="Times New Roman" w:hAnsi="Times New Roman" w:eastAsia="仿宋_GB2312" w:cs="仿宋_GB2312"/>
          <w:color w:val="auto"/>
          <w:spacing w:val="-4"/>
          <w:sz w:val="32"/>
          <w:szCs w:val="32"/>
          <w:lang w:val="en-US" w:eastAsia="zh-CN"/>
        </w:rPr>
        <w:t>10</w:t>
      </w:r>
      <w:r>
        <w:rPr>
          <w:rFonts w:hint="eastAsia" w:ascii="Times New Roman" w:hAnsi="Times New Roman" w:eastAsia="仿宋_GB2312" w:cs="仿宋_GB2312"/>
          <w:color w:val="auto"/>
          <w:spacing w:val="-4"/>
          <w:sz w:val="32"/>
          <w:szCs w:val="32"/>
          <w:lang w:eastAsia="zh-CN"/>
        </w:rPr>
        <w:t>月</w:t>
      </w:r>
      <w:r>
        <w:rPr>
          <w:rFonts w:hint="eastAsia" w:ascii="Times New Roman" w:hAnsi="Times New Roman" w:eastAsia="仿宋_GB2312" w:cs="仿宋_GB2312"/>
          <w:color w:val="auto"/>
          <w:spacing w:val="-4"/>
          <w:sz w:val="32"/>
          <w:szCs w:val="32"/>
          <w:lang w:val="en-US" w:eastAsia="zh-CN"/>
        </w:rPr>
        <w:t>7</w:t>
      </w:r>
      <w:r>
        <w:rPr>
          <w:rFonts w:hint="eastAsia" w:ascii="Times New Roman" w:hAnsi="Times New Roman" w:eastAsia="仿宋_GB2312" w:cs="仿宋_GB2312"/>
          <w:color w:val="auto"/>
          <w:spacing w:val="-4"/>
          <w:sz w:val="32"/>
          <w:szCs w:val="32"/>
          <w:lang w:eastAsia="zh-CN"/>
        </w:rPr>
        <w:t>日分担</w:t>
      </w:r>
      <w:r>
        <w:rPr>
          <w:rFonts w:hint="eastAsia" w:ascii="Times New Roman" w:hAnsi="Times New Roman" w:eastAsia="仿宋_GB2312" w:cs="仿宋_GB2312"/>
          <w:color w:val="auto"/>
          <w:spacing w:val="-4"/>
          <w:sz w:val="32"/>
          <w:szCs w:val="32"/>
          <w:lang w:val="en-US" w:eastAsia="zh-CN"/>
        </w:rPr>
        <w:t>20万元</w:t>
      </w:r>
      <w:r>
        <w:rPr>
          <w:rFonts w:hint="eastAsia" w:ascii="Times New Roman" w:hAnsi="Times New Roman" w:eastAsia="仿宋_GB2312" w:cs="仿宋_GB2312"/>
          <w:spacing w:val="-4"/>
          <w:sz w:val="32"/>
          <w:szCs w:val="32"/>
          <w:lang w:val="en-US" w:eastAsia="zh-CN"/>
        </w:rPr>
        <w:t>参与全省第二届中国（四川）国际熊猫消费节“蜀里安逸”消费券。</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r>
        <w:rPr>
          <w:rFonts w:hint="eastAsia" w:ascii="Times New Roman" w:hAnsi="Times New Roman" w:eastAsia="楷体_GB2312" w:cs="楷体_GB2312"/>
          <w:b/>
          <w:spacing w:val="-4"/>
          <w:sz w:val="32"/>
          <w:szCs w:val="32"/>
          <w:lang w:val="en-US" w:eastAsia="zh-CN"/>
        </w:rPr>
        <w:t>（三）资金投入使用情况</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消费券活动总投入资金375万元，其中财政投入资金275万元，使用资金198.322万元，剩余资金76.678万元。</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after="157" w:afterLines="50"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r>
        <w:rPr>
          <w:rFonts w:hint="eastAsia" w:ascii="Times New Roman" w:hAnsi="Times New Roman" w:eastAsia="楷体_GB2312" w:cs="楷体_GB2312"/>
          <w:b/>
          <w:spacing w:val="-4"/>
          <w:sz w:val="32"/>
          <w:szCs w:val="32"/>
          <w:lang w:val="en-US" w:eastAsia="zh-CN"/>
        </w:rPr>
        <w:t>（四）项目绩效目标</w:t>
      </w:r>
    </w:p>
    <w:tbl>
      <w:tblPr>
        <w:tblStyle w:val="12"/>
        <w:tblW w:w="8875" w:type="dxa"/>
        <w:jc w:val="center"/>
        <w:tblLayout w:type="fixed"/>
        <w:tblCellMar>
          <w:top w:w="0" w:type="dxa"/>
          <w:left w:w="108" w:type="dxa"/>
          <w:bottom w:w="0" w:type="dxa"/>
          <w:right w:w="108" w:type="dxa"/>
        </w:tblCellMar>
      </w:tblPr>
      <w:tblGrid>
        <w:gridCol w:w="529"/>
        <w:gridCol w:w="1470"/>
        <w:gridCol w:w="1950"/>
        <w:gridCol w:w="2715"/>
        <w:gridCol w:w="2211"/>
      </w:tblGrid>
      <w:tr>
        <w:tblPrEx>
          <w:tblCellMar>
            <w:top w:w="0" w:type="dxa"/>
            <w:left w:w="108" w:type="dxa"/>
            <w:bottom w:w="0" w:type="dxa"/>
            <w:right w:w="108" w:type="dxa"/>
          </w:tblCellMar>
        </w:tblPrEx>
        <w:trPr>
          <w:trHeight w:val="575" w:hRule="atLeast"/>
          <w:jc w:val="center"/>
        </w:trPr>
        <w:tc>
          <w:tcPr>
            <w:tcW w:w="529"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both"/>
              <w:textAlignment w:val="auto"/>
              <w:rPr>
                <w:rFonts w:hint="eastAsia" w:ascii="Times New Roman" w:hAnsi="Times New Roman" w:eastAsia="宋体" w:cs="宋体"/>
                <w:color w:val="000000"/>
                <w:spacing w:val="-4"/>
                <w:kern w:val="0"/>
                <w:sz w:val="18"/>
                <w:szCs w:val="18"/>
                <w:lang w:val="en-US" w:eastAsia="zh-CN"/>
              </w:rPr>
            </w:pPr>
            <w:r>
              <w:rPr>
                <w:rFonts w:hint="eastAsia" w:ascii="仿宋_GB2312" w:hAnsi="仿宋_GB2312" w:eastAsia="仿宋_GB2312" w:cs="仿宋_GB2312"/>
                <w:b/>
                <w:bCs/>
                <w:color w:val="000000"/>
                <w:spacing w:val="-4"/>
                <w:kern w:val="0"/>
                <w:sz w:val="28"/>
                <w:szCs w:val="28"/>
                <w:lang w:val="en-US" w:eastAsia="zh-CN"/>
              </w:rPr>
              <w:t>绩效指标</w:t>
            </w:r>
          </w:p>
        </w:tc>
        <w:tc>
          <w:tcPr>
            <w:tcW w:w="147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b/>
                <w:bCs/>
                <w:color w:val="000000"/>
                <w:spacing w:val="-4"/>
                <w:kern w:val="0"/>
                <w:sz w:val="28"/>
                <w:szCs w:val="28"/>
              </w:rPr>
            </w:pPr>
            <w:r>
              <w:rPr>
                <w:rFonts w:hint="eastAsia" w:ascii="Times New Roman" w:hAnsi="Times New Roman" w:eastAsia="仿宋_GB2312" w:cs="仿宋_GB2312"/>
                <w:b/>
                <w:bCs/>
                <w:color w:val="000000"/>
                <w:spacing w:val="-4"/>
                <w:kern w:val="0"/>
                <w:sz w:val="28"/>
                <w:szCs w:val="28"/>
              </w:rPr>
              <w:t>一级指标</w:t>
            </w:r>
          </w:p>
        </w:tc>
        <w:tc>
          <w:tcPr>
            <w:tcW w:w="19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b/>
                <w:bCs/>
                <w:color w:val="000000"/>
                <w:spacing w:val="-4"/>
                <w:kern w:val="0"/>
                <w:sz w:val="28"/>
                <w:szCs w:val="28"/>
              </w:rPr>
            </w:pPr>
            <w:r>
              <w:rPr>
                <w:rFonts w:hint="eastAsia" w:ascii="Times New Roman" w:hAnsi="Times New Roman" w:eastAsia="仿宋_GB2312" w:cs="仿宋_GB2312"/>
                <w:b/>
                <w:bCs/>
                <w:color w:val="000000"/>
                <w:spacing w:val="-4"/>
                <w:kern w:val="0"/>
                <w:sz w:val="28"/>
                <w:szCs w:val="28"/>
              </w:rPr>
              <w:t>二级指标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b/>
                <w:bCs/>
                <w:color w:val="000000"/>
                <w:spacing w:val="-4"/>
                <w:kern w:val="0"/>
                <w:sz w:val="28"/>
                <w:szCs w:val="28"/>
              </w:rPr>
            </w:pPr>
            <w:r>
              <w:rPr>
                <w:rFonts w:hint="eastAsia" w:ascii="Times New Roman" w:hAnsi="Times New Roman" w:eastAsia="仿宋_GB2312" w:cs="仿宋_GB2312"/>
                <w:b/>
                <w:bCs/>
                <w:color w:val="000000"/>
                <w:spacing w:val="-4"/>
                <w:kern w:val="0"/>
                <w:sz w:val="28"/>
                <w:szCs w:val="28"/>
              </w:rPr>
              <w:t>三级指标</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b/>
                <w:bCs/>
                <w:color w:val="000000"/>
                <w:spacing w:val="-4"/>
                <w:kern w:val="0"/>
                <w:sz w:val="28"/>
                <w:szCs w:val="28"/>
              </w:rPr>
            </w:pPr>
            <w:r>
              <w:rPr>
                <w:rFonts w:hint="eastAsia" w:ascii="Times New Roman" w:hAnsi="Times New Roman" w:eastAsia="仿宋_GB2312" w:cs="仿宋_GB2312"/>
                <w:b/>
                <w:bCs/>
                <w:color w:val="000000"/>
                <w:spacing w:val="-4"/>
                <w:kern w:val="0"/>
                <w:sz w:val="28"/>
                <w:szCs w:val="28"/>
              </w:rPr>
              <w:t>指标值（包含数字及文字描述）</w:t>
            </w:r>
          </w:p>
        </w:tc>
      </w:tr>
      <w:tr>
        <w:tblPrEx>
          <w:tblCellMar>
            <w:top w:w="0" w:type="dxa"/>
            <w:left w:w="108" w:type="dxa"/>
            <w:bottom w:w="0" w:type="dxa"/>
            <w:right w:w="108" w:type="dxa"/>
          </w:tblCellMar>
        </w:tblPrEx>
        <w:trPr>
          <w:trHeight w:val="23" w:hRule="atLeast"/>
          <w:jc w:val="center"/>
        </w:trPr>
        <w:tc>
          <w:tcPr>
            <w:tcW w:w="529"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lang w:eastAsia="zh-CN"/>
              </w:rPr>
              <w:t>产出指标</w:t>
            </w:r>
          </w:p>
        </w:tc>
        <w:tc>
          <w:tcPr>
            <w:tcW w:w="1950" w:type="dxa"/>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数量指标</w:t>
            </w:r>
          </w:p>
        </w:tc>
        <w:tc>
          <w:tcPr>
            <w:tcW w:w="271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rPr>
              <w:t>消费券发放</w:t>
            </w:r>
            <w:r>
              <w:rPr>
                <w:rFonts w:hint="eastAsia" w:ascii="Times New Roman" w:hAnsi="Times New Roman" w:eastAsia="仿宋_GB2312" w:cs="仿宋_GB2312"/>
                <w:color w:val="000000"/>
                <w:spacing w:val="-4"/>
                <w:kern w:val="0"/>
                <w:sz w:val="24"/>
                <w:szCs w:val="24"/>
                <w:lang w:eastAsia="zh-CN"/>
              </w:rPr>
              <w:t>类型</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lang w:val="en-US" w:eastAsia="zh-CN"/>
              </w:rPr>
              <w:t>5种</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质量指标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消费券发放准确率</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lang w:val="en-US" w:eastAsia="zh-CN"/>
              </w:rPr>
            </w:pPr>
            <w:r>
              <w:rPr>
                <w:rFonts w:hint="eastAsia" w:ascii="Times New Roman" w:hAnsi="Times New Roman" w:eastAsia="仿宋_GB2312" w:cs="仿宋_GB2312"/>
                <w:color w:val="000000"/>
                <w:spacing w:val="-4"/>
                <w:kern w:val="0"/>
                <w:sz w:val="24"/>
                <w:szCs w:val="24"/>
              </w:rPr>
              <w:t>=100%</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p>
        </w:tc>
        <w:tc>
          <w:tcPr>
            <w:tcW w:w="1950"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时效指标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消费券发放及时率</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rPr>
              <w:t>=100%</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p>
        </w:tc>
        <w:tc>
          <w:tcPr>
            <w:tcW w:w="195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lang w:val="en-US" w:eastAsia="zh-CN" w:bidi="ar-SA"/>
              </w:rPr>
            </w:pPr>
            <w:r>
              <w:rPr>
                <w:rFonts w:hint="eastAsia" w:ascii="Times New Roman" w:hAnsi="Times New Roman" w:eastAsia="仿宋_GB2312" w:cs="仿宋_GB2312"/>
                <w:color w:val="000000"/>
                <w:spacing w:val="-4"/>
                <w:kern w:val="0"/>
                <w:sz w:val="24"/>
                <w:szCs w:val="24"/>
              </w:rPr>
              <w:t>成本指标</w:t>
            </w:r>
          </w:p>
        </w:tc>
        <w:tc>
          <w:tcPr>
            <w:tcW w:w="2715" w:type="dxa"/>
            <w:tcBorders>
              <w:top w:val="nil"/>
              <w:left w:val="nil"/>
              <w:bottom w:val="single" w:color="auto" w:sz="4" w:space="0"/>
              <w:right w:val="single" w:color="auto" w:sz="4" w:space="0"/>
            </w:tcBorders>
            <w:noWrap w:val="0"/>
            <w:vAlign w:val="center"/>
          </w:tcPr>
          <w:p>
            <w:pPr>
              <w:keepNext w:val="0"/>
              <w:keepLines w:val="0"/>
              <w:pageBreakBefore w:val="0"/>
              <w:widowControl/>
              <w:tabs>
                <w:tab w:val="center" w:pos="1364"/>
              </w:tabs>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消费券发放成本控制数</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w:t>
            </w:r>
            <w:r>
              <w:rPr>
                <w:rFonts w:hint="eastAsia" w:ascii="Times New Roman" w:hAnsi="Times New Roman" w:eastAsia="仿宋_GB2312" w:cs="仿宋_GB2312"/>
                <w:color w:val="000000"/>
                <w:spacing w:val="-4"/>
                <w:kern w:val="0"/>
                <w:sz w:val="24"/>
                <w:szCs w:val="24"/>
                <w:lang w:val="en-US" w:eastAsia="zh-CN"/>
              </w:rPr>
              <w:t>275</w:t>
            </w:r>
            <w:r>
              <w:rPr>
                <w:rFonts w:hint="eastAsia" w:ascii="Times New Roman" w:hAnsi="Times New Roman" w:eastAsia="仿宋_GB2312" w:cs="仿宋_GB2312"/>
                <w:color w:val="000000"/>
                <w:spacing w:val="-4"/>
                <w:kern w:val="0"/>
                <w:sz w:val="24"/>
                <w:szCs w:val="24"/>
              </w:rPr>
              <w:t>万元</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效益指标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社会效益指标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rPr>
              <w:t>消费群体验获得感</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w:t>
            </w:r>
            <w:r>
              <w:rPr>
                <w:rFonts w:hint="eastAsia" w:ascii="Times New Roman" w:hAnsi="Times New Roman" w:eastAsia="仿宋_GB2312" w:cs="仿宋_GB2312"/>
                <w:color w:val="000000"/>
                <w:spacing w:val="-4"/>
                <w:kern w:val="0"/>
                <w:sz w:val="24"/>
                <w:szCs w:val="24"/>
                <w:lang w:val="en-US" w:eastAsia="zh-CN"/>
              </w:rPr>
              <w:t>98</w:t>
            </w:r>
            <w:r>
              <w:rPr>
                <w:rFonts w:hint="eastAsia" w:ascii="Times New Roman" w:hAnsi="Times New Roman" w:eastAsia="仿宋_GB2312" w:cs="仿宋_GB2312"/>
                <w:color w:val="000000"/>
                <w:spacing w:val="-4"/>
                <w:kern w:val="0"/>
                <w:sz w:val="24"/>
                <w:szCs w:val="24"/>
              </w:rPr>
              <w:t>%</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可持续影响指标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消费群体参与率</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rPr>
              <w:t>=100%</w:t>
            </w:r>
          </w:p>
        </w:tc>
      </w:tr>
      <w:tr>
        <w:tblPrEx>
          <w:tblCellMar>
            <w:top w:w="0" w:type="dxa"/>
            <w:left w:w="108" w:type="dxa"/>
            <w:bottom w:w="0" w:type="dxa"/>
            <w:right w:w="108" w:type="dxa"/>
          </w:tblCellMar>
        </w:tblPrEx>
        <w:trPr>
          <w:trHeight w:val="23" w:hRule="atLeast"/>
          <w:jc w:val="center"/>
        </w:trPr>
        <w:tc>
          <w:tcPr>
            <w:tcW w:w="529"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344" w:firstLineChars="200"/>
              <w:jc w:val="center"/>
              <w:textAlignment w:val="auto"/>
              <w:rPr>
                <w:rFonts w:hint="eastAsia" w:ascii="Times New Roman" w:hAnsi="Times New Roman" w:eastAsia="宋体" w:cs="宋体"/>
                <w:color w:val="000000"/>
                <w:spacing w:val="-4"/>
                <w:kern w:val="0"/>
                <w:sz w:val="18"/>
                <w:szCs w:val="18"/>
              </w:rPr>
            </w:pPr>
          </w:p>
        </w:tc>
        <w:tc>
          <w:tcPr>
            <w:tcW w:w="147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满意度指标</w:t>
            </w:r>
          </w:p>
        </w:tc>
        <w:tc>
          <w:tcPr>
            <w:tcW w:w="19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rPr>
              <w:t>满意度指标</w:t>
            </w:r>
          </w:p>
        </w:tc>
        <w:tc>
          <w:tcPr>
            <w:tcW w:w="271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jc w:val="center"/>
              <w:textAlignment w:val="auto"/>
              <w:rPr>
                <w:rFonts w:hint="eastAsia" w:ascii="Times New Roman" w:hAnsi="Times New Roman" w:eastAsia="仿宋_GB2312" w:cs="仿宋_GB2312"/>
                <w:color w:val="000000"/>
                <w:spacing w:val="-4"/>
                <w:kern w:val="0"/>
                <w:sz w:val="24"/>
                <w:szCs w:val="24"/>
                <w:lang w:eastAsia="zh-CN"/>
              </w:rPr>
            </w:pPr>
            <w:r>
              <w:rPr>
                <w:rFonts w:hint="eastAsia" w:ascii="Times New Roman" w:hAnsi="Times New Roman" w:eastAsia="仿宋_GB2312" w:cs="仿宋_GB2312"/>
                <w:color w:val="000000"/>
                <w:spacing w:val="-4"/>
                <w:kern w:val="0"/>
                <w:sz w:val="24"/>
                <w:szCs w:val="24"/>
              </w:rPr>
              <w:t>消费群体满意度</w:t>
            </w:r>
          </w:p>
        </w:tc>
        <w:tc>
          <w:tcPr>
            <w:tcW w:w="221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590" w:lineRule="exact"/>
              <w:ind w:left="0" w:firstLine="464" w:firstLineChars="200"/>
              <w:jc w:val="center"/>
              <w:textAlignment w:val="auto"/>
              <w:rPr>
                <w:rFonts w:hint="eastAsia" w:ascii="Times New Roman" w:hAnsi="Times New Roman" w:eastAsia="仿宋_GB2312" w:cs="仿宋_GB2312"/>
                <w:color w:val="000000"/>
                <w:spacing w:val="-4"/>
                <w:kern w:val="0"/>
                <w:sz w:val="24"/>
                <w:szCs w:val="24"/>
              </w:rPr>
            </w:pPr>
            <w:r>
              <w:rPr>
                <w:rFonts w:hint="eastAsia" w:ascii="Times New Roman" w:hAnsi="Times New Roman" w:eastAsia="仿宋_GB2312" w:cs="仿宋_GB2312"/>
                <w:color w:val="000000"/>
                <w:spacing w:val="-4"/>
                <w:kern w:val="0"/>
                <w:sz w:val="24"/>
                <w:szCs w:val="24"/>
                <w:lang w:eastAsia="zh-CN"/>
              </w:rPr>
              <w:t>≥</w:t>
            </w:r>
            <w:r>
              <w:rPr>
                <w:rFonts w:hint="eastAsia" w:ascii="Times New Roman" w:hAnsi="Times New Roman" w:eastAsia="仿宋_GB2312" w:cs="仿宋_GB2312"/>
                <w:color w:val="000000"/>
                <w:spacing w:val="-4"/>
                <w:kern w:val="0"/>
                <w:sz w:val="24"/>
                <w:szCs w:val="24"/>
                <w:lang w:val="en-US" w:eastAsia="zh-CN"/>
              </w:rPr>
              <w:t>98</w:t>
            </w:r>
            <w:r>
              <w:rPr>
                <w:rFonts w:hint="eastAsia" w:ascii="Times New Roman" w:hAnsi="Times New Roman" w:eastAsia="仿宋_GB2312" w:cs="仿宋_GB2312"/>
                <w:color w:val="000000"/>
                <w:spacing w:val="-4"/>
                <w:kern w:val="0"/>
                <w:sz w:val="24"/>
                <w:szCs w:val="24"/>
              </w:rPr>
              <w:t>%</w:t>
            </w:r>
          </w:p>
        </w:tc>
      </w:tr>
    </w:tbl>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after="157" w:afterLines="50" w:line="590" w:lineRule="exact"/>
        <w:ind w:left="0" w:firstLine="624" w:firstLineChars="200"/>
        <w:jc w:val="left"/>
        <w:textAlignment w:val="auto"/>
        <w:outlineLvl w:val="9"/>
        <w:rPr>
          <w:rFonts w:hint="eastAsia" w:ascii="Times New Roman" w:hAnsi="Times New Roman" w:eastAsia="黑体" w:cs="黑体"/>
          <w:spacing w:val="-4"/>
          <w:sz w:val="32"/>
          <w:szCs w:val="32"/>
          <w:lang w:val="en-US" w:eastAsia="zh-CN"/>
        </w:rPr>
      </w:pPr>
      <w:r>
        <w:rPr>
          <w:rFonts w:hint="eastAsia" w:ascii="Times New Roman" w:hAnsi="Times New Roman" w:eastAsia="黑体" w:cs="黑体"/>
          <w:spacing w:val="-4"/>
          <w:sz w:val="32"/>
          <w:szCs w:val="32"/>
          <w:lang w:val="en-US" w:eastAsia="zh-CN"/>
        </w:rPr>
        <w:t>二、评价工作开展情况</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bookmarkStart w:id="0" w:name="bookmark8"/>
      <w:bookmarkEnd w:id="0"/>
      <w:r>
        <w:rPr>
          <w:rFonts w:hint="eastAsia" w:ascii="Times New Roman" w:hAnsi="Times New Roman" w:eastAsia="楷体_GB2312" w:cs="楷体_GB2312"/>
          <w:b/>
          <w:spacing w:val="-4"/>
          <w:sz w:val="32"/>
          <w:szCs w:val="32"/>
          <w:lang w:val="en-US" w:eastAsia="zh-CN"/>
        </w:rPr>
        <w:t>（一）评价工作流程</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评价工作过程主要包括前期准备、组织实施、分析评价、撰写评价报告4个阶段。</w:t>
      </w:r>
    </w:p>
    <w:p>
      <w:pPr>
        <w:keepNext w:val="0"/>
        <w:keepLines w:val="0"/>
        <w:pageBreakBefore w:val="0"/>
        <w:widowControl w:val="0"/>
        <w:kinsoku/>
        <w:wordWrap/>
        <w:overflowPunct/>
        <w:topLinePunct w:val="0"/>
        <w:autoSpaceDE/>
        <w:autoSpaceDN/>
        <w:bidi w:val="0"/>
        <w:adjustRightInd/>
        <w:snapToGrid/>
        <w:spacing w:line="590" w:lineRule="exact"/>
        <w:ind w:left="0" w:firstLine="627" w:firstLineChars="200"/>
        <w:textAlignment w:val="auto"/>
        <w:rPr>
          <w:rFonts w:hint="eastAsia" w:ascii="Times New Roman" w:hAnsi="Times New Roman" w:eastAsia="仿宋_GB2312" w:cs="仿宋_GB2312"/>
          <w:b/>
          <w:bCs/>
          <w:spacing w:val="-4"/>
          <w:sz w:val="32"/>
          <w:szCs w:val="32"/>
          <w:lang w:val="en-US" w:eastAsia="zh-CN"/>
        </w:rPr>
      </w:pPr>
      <w:r>
        <w:rPr>
          <w:rFonts w:hint="eastAsia" w:ascii="Times New Roman" w:hAnsi="Times New Roman" w:eastAsia="仿宋_GB2312" w:cs="仿宋_GB2312"/>
          <w:b/>
          <w:bCs/>
          <w:spacing w:val="-4"/>
          <w:sz w:val="32"/>
          <w:szCs w:val="32"/>
          <w:lang w:val="en-US" w:eastAsia="zh-CN"/>
        </w:rPr>
        <w:t>1.前期准备</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单位对评价项目进行安排实施，业务人员梳理评价项目，根据项目绩效支出开展自评工作。</w:t>
      </w:r>
    </w:p>
    <w:p>
      <w:pPr>
        <w:keepNext w:val="0"/>
        <w:keepLines w:val="0"/>
        <w:pageBreakBefore w:val="0"/>
        <w:widowControl w:val="0"/>
        <w:kinsoku/>
        <w:wordWrap/>
        <w:overflowPunct/>
        <w:topLinePunct w:val="0"/>
        <w:autoSpaceDE/>
        <w:autoSpaceDN/>
        <w:bidi w:val="0"/>
        <w:adjustRightInd/>
        <w:snapToGrid/>
        <w:spacing w:line="590" w:lineRule="exact"/>
        <w:ind w:left="0" w:firstLine="627" w:firstLineChars="200"/>
        <w:textAlignment w:val="auto"/>
        <w:rPr>
          <w:rFonts w:hint="eastAsia" w:ascii="Times New Roman" w:hAnsi="Times New Roman" w:eastAsia="仿宋_GB2312" w:cs="仿宋_GB2312"/>
          <w:b/>
          <w:bCs/>
          <w:spacing w:val="-4"/>
          <w:sz w:val="32"/>
          <w:szCs w:val="32"/>
          <w:lang w:val="en-US" w:eastAsia="zh-CN"/>
        </w:rPr>
      </w:pPr>
      <w:r>
        <w:rPr>
          <w:rFonts w:hint="eastAsia" w:ascii="Times New Roman" w:hAnsi="Times New Roman" w:eastAsia="仿宋_GB2312" w:cs="仿宋_GB2312"/>
          <w:b/>
          <w:bCs/>
          <w:spacing w:val="-4"/>
          <w:sz w:val="32"/>
          <w:szCs w:val="32"/>
          <w:lang w:val="en-US" w:eastAsia="zh-CN"/>
        </w:rPr>
        <w:t>2.组织实施</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对项目的基础数据和相关资料进行核实和全面分析。主要工作包括听取情况介绍、数据采集、资料审核和分析、完成评价工作底稿等。</w:t>
      </w:r>
    </w:p>
    <w:p>
      <w:pPr>
        <w:keepNext w:val="0"/>
        <w:keepLines w:val="0"/>
        <w:pageBreakBefore w:val="0"/>
        <w:widowControl w:val="0"/>
        <w:kinsoku/>
        <w:wordWrap/>
        <w:overflowPunct/>
        <w:topLinePunct w:val="0"/>
        <w:autoSpaceDE/>
        <w:autoSpaceDN/>
        <w:bidi w:val="0"/>
        <w:adjustRightInd/>
        <w:snapToGrid/>
        <w:spacing w:line="590" w:lineRule="exact"/>
        <w:ind w:left="0" w:firstLine="627" w:firstLineChars="200"/>
        <w:textAlignment w:val="auto"/>
        <w:rPr>
          <w:rFonts w:hint="eastAsia" w:ascii="Times New Roman" w:hAnsi="Times New Roman" w:eastAsia="仿宋_GB2312" w:cs="仿宋_GB2312"/>
          <w:b/>
          <w:bCs/>
          <w:spacing w:val="-4"/>
          <w:sz w:val="32"/>
          <w:szCs w:val="32"/>
          <w:lang w:val="en-US" w:eastAsia="zh-CN"/>
        </w:rPr>
      </w:pPr>
      <w:r>
        <w:rPr>
          <w:rFonts w:hint="eastAsia" w:ascii="Times New Roman" w:hAnsi="Times New Roman" w:eastAsia="仿宋_GB2312" w:cs="仿宋_GB2312"/>
          <w:b/>
          <w:bCs/>
          <w:spacing w:val="-4"/>
          <w:sz w:val="32"/>
          <w:szCs w:val="32"/>
          <w:lang w:val="en-US" w:eastAsia="zh-CN"/>
        </w:rPr>
        <w:t>3.分析评价</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汇总整理绩效评价工作底稿、实施评价指标分析、形成绩效评价问题清单、形成绩效评价结果。</w:t>
      </w:r>
    </w:p>
    <w:p>
      <w:pPr>
        <w:keepNext w:val="0"/>
        <w:keepLines w:val="0"/>
        <w:pageBreakBefore w:val="0"/>
        <w:widowControl w:val="0"/>
        <w:kinsoku/>
        <w:wordWrap/>
        <w:overflowPunct/>
        <w:topLinePunct w:val="0"/>
        <w:autoSpaceDE/>
        <w:autoSpaceDN/>
        <w:bidi w:val="0"/>
        <w:adjustRightInd/>
        <w:snapToGrid/>
        <w:spacing w:line="590" w:lineRule="exact"/>
        <w:ind w:left="0" w:firstLine="627" w:firstLineChars="200"/>
        <w:textAlignment w:val="auto"/>
        <w:rPr>
          <w:rFonts w:hint="eastAsia" w:ascii="Times New Roman" w:hAnsi="Times New Roman" w:eastAsia="仿宋_GB2312" w:cs="仿宋_GB2312"/>
          <w:b/>
          <w:bCs/>
          <w:spacing w:val="-4"/>
          <w:sz w:val="32"/>
          <w:szCs w:val="32"/>
          <w:lang w:val="en-US" w:eastAsia="zh-CN"/>
        </w:rPr>
      </w:pPr>
      <w:r>
        <w:rPr>
          <w:rFonts w:hint="eastAsia" w:ascii="Times New Roman" w:hAnsi="Times New Roman" w:eastAsia="仿宋_GB2312" w:cs="仿宋_GB2312"/>
          <w:b/>
          <w:bCs/>
          <w:spacing w:val="-4"/>
          <w:sz w:val="32"/>
          <w:szCs w:val="32"/>
          <w:lang w:val="en-US" w:eastAsia="zh-CN"/>
        </w:rPr>
        <w:t>4.撰写评价报告</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在经过数据采集、核实确认以及分析评价后，按照规定要求和文本格式撰写自评报告。</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r>
        <w:rPr>
          <w:rFonts w:hint="eastAsia" w:ascii="Times New Roman" w:hAnsi="Times New Roman" w:eastAsia="楷体_GB2312" w:cs="楷体_GB2312"/>
          <w:b/>
          <w:spacing w:val="-4"/>
          <w:sz w:val="32"/>
          <w:szCs w:val="32"/>
          <w:lang w:val="en-US" w:eastAsia="zh-CN"/>
        </w:rPr>
        <w:t>（二）评价指标体系</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根据《大英县财政局关于开展2024年度部门、项目、政策支出绩效自评工作的通知》(大财发〔2024〕87号)中的2024年县级项目支出绩效评价指标体系。</w:t>
      </w:r>
    </w:p>
    <w:p>
      <w:pPr>
        <w:keepNext w:val="0"/>
        <w:keepLines w:val="0"/>
        <w:pageBreakBefore w:val="0"/>
        <w:widowControl w:val="0"/>
        <w:numPr>
          <w:ilvl w:val="0"/>
          <w:numId w:val="0"/>
        </w:numPr>
        <w:tabs>
          <w:tab w:val="left" w:pos="3885"/>
        </w:tabs>
        <w:kinsoku/>
        <w:wordWrap/>
        <w:overflowPunct/>
        <w:topLinePunct w:val="0"/>
        <w:autoSpaceDE/>
        <w:autoSpaceDN/>
        <w:bidi w:val="0"/>
        <w:adjustRightInd/>
        <w:snapToGrid w:val="0"/>
        <w:spacing w:line="590" w:lineRule="exact"/>
        <w:ind w:left="0" w:firstLine="627" w:firstLineChars="200"/>
        <w:jc w:val="left"/>
        <w:textAlignment w:val="auto"/>
        <w:outlineLvl w:val="9"/>
        <w:rPr>
          <w:rFonts w:hint="eastAsia" w:ascii="Times New Roman" w:hAnsi="Times New Roman" w:eastAsia="楷体_GB2312" w:cs="楷体_GB2312"/>
          <w:b/>
          <w:spacing w:val="-4"/>
          <w:sz w:val="32"/>
          <w:szCs w:val="32"/>
          <w:lang w:val="en-US" w:eastAsia="zh-CN"/>
        </w:rPr>
      </w:pPr>
      <w:r>
        <w:rPr>
          <w:rFonts w:hint="eastAsia" w:ascii="Times New Roman" w:hAnsi="Times New Roman" w:eastAsia="楷体_GB2312" w:cs="楷体_GB2312"/>
          <w:b/>
          <w:spacing w:val="-4"/>
          <w:sz w:val="32"/>
          <w:szCs w:val="32"/>
          <w:lang w:val="en-US" w:eastAsia="zh-CN"/>
        </w:rPr>
        <w:t>（三）评价方法</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firstLine="624" w:firstLineChars="200"/>
        <w:textAlignment w:val="auto"/>
        <w:rPr>
          <w:rFonts w:hint="eastAsia" w:ascii="Times New Roman" w:hAnsi="Times New Roman" w:eastAsia="仿宋_GB2312" w:cs="仿宋_GB2312"/>
          <w:spacing w:val="-4"/>
          <w:sz w:val="32"/>
          <w:szCs w:val="32"/>
          <w:lang w:val="en-US" w:eastAsia="zh-CN"/>
        </w:rPr>
      </w:pPr>
      <w:r>
        <w:rPr>
          <w:rFonts w:hint="eastAsia" w:ascii="Times New Roman" w:hAnsi="Times New Roman" w:eastAsia="仿宋_GB2312" w:cs="仿宋_GB2312"/>
          <w:spacing w:val="-4"/>
          <w:sz w:val="32"/>
          <w:szCs w:val="32"/>
          <w:lang w:val="en-US" w:eastAsia="zh-CN"/>
        </w:rPr>
        <w:t>本项目绩效评价方法选用比较法、因素分析法。本次绩效评价采用百分制，各级指标依据其指标权重确定分值，最终得分由各级评价指标得分加总形成。根据最终得分将评价标准分为四个等级:优(得分≥90分);良(80分s得分&lt;90分);中(60≤得分&lt;80分);差(得分&lt;60分)。</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黑体"/>
          <w:spacing w:val="-4"/>
          <w:sz w:val="32"/>
          <w:szCs w:val="32"/>
        </w:rPr>
      </w:pPr>
      <w:r>
        <w:rPr>
          <w:rFonts w:hint="eastAsia" w:ascii="Times New Roman" w:hAnsi="Times New Roman" w:eastAsia="黑体"/>
          <w:spacing w:val="-4"/>
          <w:sz w:val="32"/>
          <w:szCs w:val="32"/>
          <w:lang w:val="en-US" w:eastAsia="zh-CN"/>
        </w:rPr>
        <w:t>三、</w:t>
      </w:r>
      <w:r>
        <w:rPr>
          <w:rFonts w:hint="eastAsia" w:ascii="Times New Roman" w:hAnsi="Times New Roman" w:eastAsia="黑体"/>
          <w:spacing w:val="-4"/>
          <w:sz w:val="32"/>
          <w:szCs w:val="32"/>
          <w:lang w:eastAsia="zh-CN"/>
        </w:rPr>
        <w:t>综合</w:t>
      </w:r>
      <w:r>
        <w:rPr>
          <w:rFonts w:hint="eastAsia" w:ascii="Times New Roman" w:hAnsi="Times New Roman" w:eastAsia="黑体"/>
          <w:spacing w:val="-4"/>
          <w:sz w:val="32"/>
          <w:szCs w:val="32"/>
        </w:rPr>
        <w:t>评价结论</w:t>
      </w:r>
    </w:p>
    <w:p>
      <w:pPr>
        <w:keepNext w:val="0"/>
        <w:keepLines w:val="0"/>
        <w:pageBreakBefore w:val="0"/>
        <w:widowControl w:val="0"/>
        <w:kinsoku/>
        <w:wordWrap/>
        <w:overflowPunct/>
        <w:topLinePunct w:val="0"/>
        <w:autoSpaceDE/>
        <w:autoSpaceDN/>
        <w:bidi w:val="0"/>
        <w:adjustRightInd/>
        <w:snapToGrid/>
        <w:spacing w:line="590" w:lineRule="exact"/>
        <w:ind w:left="0" w:firstLine="624" w:firstLineChars="200"/>
        <w:textAlignment w:val="auto"/>
        <w:rPr>
          <w:rFonts w:hint="eastAsia" w:ascii="Times New Roman" w:hAnsi="Times New Roman" w:eastAsia="宋体" w:cs="宋体"/>
          <w:b/>
          <w:bCs/>
          <w:color w:val="000000"/>
          <w:spacing w:val="-4"/>
          <w:kern w:val="0"/>
          <w:sz w:val="24"/>
          <w:szCs w:val="22"/>
          <w:lang w:val="en-US" w:eastAsia="zh-CN"/>
        </w:rPr>
      </w:pPr>
      <w:r>
        <w:rPr>
          <w:rFonts w:hint="eastAsia" w:ascii="Times New Roman" w:hAnsi="Times New Roman" w:eastAsia="仿宋_GB2312" w:cs="仿宋_GB2312"/>
          <w:spacing w:val="-4"/>
          <w:sz w:val="32"/>
          <w:szCs w:val="32"/>
          <w:lang w:val="en-US" w:eastAsia="zh-CN"/>
        </w:rPr>
        <w:t>通过对2023年消费券活动相关资料审核，根据项目评价指标体系标准，确定2023年消费券活动项目支出绩效自评结果为“优”。</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黑体" w:cs="黑体"/>
          <w:b w:val="0"/>
          <w:bCs/>
          <w:spacing w:val="-4"/>
          <w:sz w:val="32"/>
          <w:szCs w:val="32"/>
          <w:lang w:eastAsia="zh-CN"/>
        </w:rPr>
      </w:pPr>
      <w:r>
        <w:rPr>
          <w:rFonts w:hint="eastAsia" w:ascii="Times New Roman" w:hAnsi="Times New Roman" w:eastAsia="黑体" w:cs="黑体"/>
          <w:b w:val="0"/>
          <w:bCs/>
          <w:spacing w:val="-4"/>
          <w:sz w:val="32"/>
          <w:szCs w:val="32"/>
          <w:lang w:eastAsia="zh-CN"/>
        </w:rPr>
        <w:t>四、绩效评价分析</w:t>
      </w:r>
    </w:p>
    <w:p>
      <w:pPr>
        <w:keepNext w:val="0"/>
        <w:keepLines w:val="0"/>
        <w:pageBreakBefore w:val="0"/>
        <w:widowControl w:val="0"/>
        <w:kinsoku/>
        <w:wordWrap/>
        <w:overflowPunct/>
        <w:topLinePunct w:val="0"/>
        <w:autoSpaceDE/>
        <w:autoSpaceDN/>
        <w:bidi w:val="0"/>
        <w:adjustRightInd/>
        <w:snapToGrid/>
        <w:spacing w:line="590" w:lineRule="exact"/>
        <w:ind w:left="0" w:firstLine="627" w:firstLineChars="200"/>
        <w:textAlignment w:val="auto"/>
        <w:rPr>
          <w:rFonts w:hint="eastAsia" w:ascii="Times New Roman" w:hAnsi="Times New Roman" w:eastAsia="仿宋_GB2312" w:cs="仿宋_GB2312"/>
          <w:spacing w:val="-4"/>
          <w:szCs w:val="21"/>
          <w:lang w:eastAsia="zh-CN"/>
        </w:rPr>
      </w:pPr>
      <w:r>
        <w:rPr>
          <w:rFonts w:hint="eastAsia" w:ascii="Times New Roman" w:hAnsi="Times New Roman" w:eastAsia="楷体_GB2312" w:cs="楷体_GB2312"/>
          <w:b/>
          <w:spacing w:val="-4"/>
          <w:sz w:val="32"/>
          <w:szCs w:val="32"/>
          <w:lang w:val="en-US" w:eastAsia="zh-CN"/>
        </w:rPr>
        <w:t>（一）项目决策情况。</w:t>
      </w:r>
      <w:r>
        <w:rPr>
          <w:rFonts w:hint="eastAsia" w:ascii="Times New Roman" w:hAnsi="Times New Roman" w:eastAsia="仿宋_GB2312" w:cs="仿宋_GB2312"/>
          <w:spacing w:val="-4"/>
          <w:kern w:val="2"/>
          <w:sz w:val="32"/>
          <w:szCs w:val="32"/>
          <w:lang w:val="en-US" w:eastAsia="zh-CN" w:bidi="ar-SA"/>
        </w:rPr>
        <w:t>深入贯彻落实党的二十大精神和中省市县把恢复和扩大消费摆在优先位置，坚持供给侧结构性改革和需求侧管理两端发力，</w:t>
      </w:r>
      <w:r>
        <w:rPr>
          <w:rFonts w:hint="eastAsia" w:ascii="Times New Roman" w:hAnsi="Times New Roman" w:eastAsia="仿宋_GB2312" w:cs="仿宋_GB2312"/>
          <w:spacing w:val="-4"/>
          <w:sz w:val="32"/>
          <w:szCs w:val="32"/>
          <w:lang w:val="en-US" w:eastAsia="zh-CN"/>
        </w:rPr>
        <w:t>释放消费潜力，激发消费市场活力，更好发挥消费对经济发展的基础性作用，促进消费稳中提质，在全县范围内发放消费券。</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eastAsia" w:ascii="Times New Roman" w:hAnsi="Times New Roman" w:eastAsia="仿宋_GB2312" w:cs="仿宋_GB2312"/>
          <w:spacing w:val="-4"/>
          <w:kern w:val="2"/>
          <w:sz w:val="32"/>
          <w:szCs w:val="32"/>
          <w:lang w:val="en-US" w:eastAsia="zh-CN" w:bidi="ar-SA"/>
        </w:rPr>
      </w:pPr>
      <w:r>
        <w:rPr>
          <w:rFonts w:hint="eastAsia" w:ascii="Times New Roman" w:hAnsi="Times New Roman" w:eastAsia="楷体_GB2312" w:cs="楷体_GB2312"/>
          <w:b/>
          <w:spacing w:val="-4"/>
          <w:sz w:val="32"/>
          <w:szCs w:val="32"/>
          <w:lang w:val="en-US" w:eastAsia="zh-CN"/>
        </w:rPr>
        <w:t>（二）项目管理情况。</w:t>
      </w:r>
      <w:r>
        <w:rPr>
          <w:rFonts w:hint="eastAsia" w:ascii="Times New Roman" w:hAnsi="Times New Roman" w:eastAsia="仿宋_GB2312"/>
          <w:spacing w:val="-4"/>
          <w:sz w:val="32"/>
          <w:lang w:val="en-US" w:eastAsia="zh-CN"/>
        </w:rPr>
        <w:t>为</w:t>
      </w:r>
      <w:r>
        <w:rPr>
          <w:rFonts w:hint="eastAsia" w:ascii="Times New Roman" w:hAnsi="Times New Roman" w:eastAsia="仿宋_GB2312" w:cs="仿宋_GB2312"/>
          <w:spacing w:val="-4"/>
          <w:kern w:val="2"/>
          <w:sz w:val="32"/>
          <w:szCs w:val="32"/>
          <w:lang w:val="en-US" w:eastAsia="zh-CN" w:bidi="ar-SA"/>
        </w:rPr>
        <w:t>规范消费券活动项目管理，提高专项资金使用效益，制定了大英县消费券项目资金管理制度、活动实施方案，合理规范使用项目资金，促使财政资金作用效益最大化。</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7" w:firstLineChars="200"/>
        <w:textAlignment w:val="auto"/>
        <w:rPr>
          <w:rFonts w:hint="eastAsia" w:ascii="Times New Roman" w:hAnsi="Times New Roman" w:eastAsia="仿宋_GB2312" w:cs="仿宋_GB2312"/>
          <w:spacing w:val="-4"/>
          <w:kern w:val="2"/>
          <w:sz w:val="32"/>
          <w:szCs w:val="32"/>
          <w:lang w:val="en-US" w:eastAsia="zh-CN" w:bidi="ar-SA"/>
        </w:rPr>
      </w:pPr>
      <w:r>
        <w:rPr>
          <w:rFonts w:hint="eastAsia" w:ascii="Times New Roman" w:hAnsi="Times New Roman" w:eastAsia="楷体_GB2312" w:cs="楷体_GB2312"/>
          <w:b/>
          <w:spacing w:val="-4"/>
          <w:sz w:val="32"/>
          <w:szCs w:val="32"/>
          <w:lang w:val="en-US" w:eastAsia="zh-CN"/>
        </w:rPr>
        <w:t>（三）项目产出情况。</w:t>
      </w:r>
      <w:r>
        <w:rPr>
          <w:rFonts w:hint="eastAsia" w:ascii="Times New Roman" w:hAnsi="Times New Roman" w:eastAsia="仿宋_GB2312" w:cs="仿宋_GB2312"/>
          <w:spacing w:val="-4"/>
          <w:kern w:val="2"/>
          <w:sz w:val="32"/>
          <w:szCs w:val="32"/>
          <w:lang w:val="en-US" w:eastAsia="zh-CN" w:bidi="ar-SA"/>
        </w:rPr>
        <w:t>合理设置消费券发放和参与商户范围、制定消费券发放时间、类型及使用方式，及时掌握消费券的发放、核销情况，防止刷单、恶意套现等违法违规行为，加强交易数据风险排查与风险防控，做好专项资金使用的监控，做好项目实施。</w:t>
      </w:r>
    </w:p>
    <w:p>
      <w:pPr>
        <w:keepNext w:val="0"/>
        <w:keepLines w:val="0"/>
        <w:pageBreakBefore w:val="0"/>
        <w:widowControl w:val="0"/>
        <w:kinsoku/>
        <w:wordWrap/>
        <w:overflowPunct/>
        <w:topLinePunct w:val="0"/>
        <w:autoSpaceDE/>
        <w:autoSpaceDN/>
        <w:bidi w:val="0"/>
        <w:adjustRightInd/>
        <w:snapToGrid w:val="0"/>
        <w:spacing w:line="590" w:lineRule="exact"/>
        <w:ind w:left="0" w:firstLine="627" w:firstLineChars="200"/>
        <w:textAlignment w:val="auto"/>
        <w:outlineLvl w:val="9"/>
        <w:rPr>
          <w:rFonts w:hint="default" w:ascii="Times New Roman" w:hAnsi="Times New Roman" w:eastAsia="仿宋_GB2312" w:cs="仿宋_GB2312"/>
          <w:spacing w:val="-4"/>
          <w:szCs w:val="21"/>
          <w:lang w:val="en-US" w:eastAsia="zh-CN"/>
        </w:rPr>
      </w:pPr>
      <w:r>
        <w:rPr>
          <w:rFonts w:hint="eastAsia" w:ascii="Times New Roman" w:hAnsi="Times New Roman" w:eastAsia="楷体_GB2312" w:cs="楷体_GB2312"/>
          <w:b/>
          <w:spacing w:val="-4"/>
          <w:sz w:val="32"/>
          <w:szCs w:val="32"/>
          <w:lang w:val="en-US" w:eastAsia="zh-CN"/>
        </w:rPr>
        <w:t>（四）项目效益情况。</w:t>
      </w:r>
      <w:r>
        <w:rPr>
          <w:rFonts w:hint="eastAsia" w:ascii="Times New Roman" w:hAnsi="Times New Roman" w:eastAsia="仿宋_GB2312" w:cs="仿宋_GB2312"/>
          <w:spacing w:val="-4"/>
          <w:kern w:val="2"/>
          <w:sz w:val="32"/>
          <w:szCs w:val="32"/>
          <w:lang w:val="en-US" w:eastAsia="zh-CN" w:bidi="ar-SA"/>
        </w:rPr>
        <w:t>消费群体通过线上抢券、线下满减、团购消费等形式，积极参与消费券发放活动，体验感不断得到提升。2023年消费券发放活动，使用财政资金198.322万元，拉动消费约1.3亿元，带动了本地经济发展。</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eastAsia="黑体"/>
          <w:spacing w:val="-4"/>
          <w:sz w:val="32"/>
          <w:szCs w:val="32"/>
        </w:rPr>
      </w:pPr>
      <w:r>
        <w:rPr>
          <w:rFonts w:hint="eastAsia" w:ascii="Times New Roman" w:hAnsi="Times New Roman" w:eastAsia="黑体"/>
          <w:spacing w:val="-4"/>
          <w:sz w:val="32"/>
          <w:szCs w:val="32"/>
        </w:rPr>
        <w:t>五、存在主要问题</w:t>
      </w:r>
    </w:p>
    <w:p>
      <w:pPr>
        <w:keepNext w:val="0"/>
        <w:keepLines w:val="0"/>
        <w:pageBreakBefore w:val="0"/>
        <w:widowControl w:val="0"/>
        <w:numPr>
          <w:ilvl w:val="0"/>
          <w:numId w:val="0"/>
        </w:numPr>
        <w:kinsoku/>
        <w:wordWrap/>
        <w:overflowPunct/>
        <w:topLinePunct w:val="0"/>
        <w:autoSpaceDE/>
        <w:autoSpaceDN/>
        <w:bidi w:val="0"/>
        <w:adjustRightInd/>
        <w:snapToGrid w:val="0"/>
        <w:spacing w:line="590" w:lineRule="exact"/>
        <w:ind w:left="0" w:leftChars="0" w:firstLine="624" w:firstLineChars="200"/>
        <w:textAlignment w:val="auto"/>
        <w:rPr>
          <w:rFonts w:hint="eastAsia" w:ascii="Times New Roman" w:hAnsi="Times New Roman" w:eastAsia="仿宋_GB2312" w:cs="仿宋_GB2312"/>
          <w:spacing w:val="-4"/>
          <w:kern w:val="2"/>
          <w:sz w:val="32"/>
          <w:szCs w:val="32"/>
          <w:lang w:val="en-US" w:eastAsia="zh-CN" w:bidi="ar-SA"/>
        </w:rPr>
      </w:pPr>
      <w:r>
        <w:rPr>
          <w:rFonts w:hint="eastAsia" w:ascii="Times New Roman" w:hAnsi="Times New Roman" w:eastAsia="仿宋_GB2312" w:cs="仿宋_GB2312"/>
          <w:spacing w:val="-4"/>
          <w:kern w:val="2"/>
          <w:sz w:val="32"/>
          <w:szCs w:val="32"/>
          <w:lang w:val="en-US" w:eastAsia="zh-CN" w:bidi="ar-SA"/>
        </w:rPr>
        <w:t>通过自评项目资料，发现该项目的绩效目标表中效益指标设置了社会效益指标、可持续影响指标，根据项目性质，该指标设置不够准确，应该增加经济效益指标。</w:t>
      </w:r>
    </w:p>
    <w:p>
      <w:pPr>
        <w:keepNext w:val="0"/>
        <w:keepLines w:val="0"/>
        <w:pageBreakBefore w:val="0"/>
        <w:widowControl w:val="0"/>
        <w:kinsoku/>
        <w:wordWrap/>
        <w:overflowPunct/>
        <w:topLinePunct w:val="0"/>
        <w:autoSpaceDE/>
        <w:autoSpaceDN/>
        <w:bidi w:val="0"/>
        <w:adjustRightInd/>
        <w:snapToGrid w:val="0"/>
        <w:spacing w:line="590" w:lineRule="exact"/>
        <w:ind w:left="0" w:firstLine="624" w:firstLineChars="200"/>
        <w:textAlignment w:val="auto"/>
        <w:outlineLvl w:val="9"/>
        <w:rPr>
          <w:rFonts w:hint="eastAsia" w:ascii="Times New Roman" w:hAnsi="Times New Roman" w:cs="仿宋_GB2312"/>
          <w:spacing w:val="-4"/>
          <w:sz w:val="32"/>
          <w:szCs w:val="32"/>
          <w:lang w:val="en-US" w:eastAsia="zh-CN"/>
        </w:rPr>
      </w:pPr>
      <w:r>
        <w:rPr>
          <w:rFonts w:hint="eastAsia" w:ascii="Times New Roman" w:hAnsi="Times New Roman" w:eastAsia="黑体"/>
          <w:spacing w:val="-4"/>
          <w:sz w:val="32"/>
          <w:szCs w:val="32"/>
        </w:rPr>
        <w:t>六、相关措施建议</w:t>
      </w:r>
    </w:p>
    <w:p>
      <w:pPr>
        <w:keepNext w:val="0"/>
        <w:keepLines w:val="0"/>
        <w:pageBreakBefore w:val="0"/>
        <w:kinsoku/>
        <w:wordWrap/>
        <w:overflowPunct/>
        <w:topLinePunct w:val="0"/>
        <w:autoSpaceDE/>
        <w:autoSpaceDN/>
        <w:bidi w:val="0"/>
        <w:spacing w:line="590" w:lineRule="exact"/>
        <w:ind w:left="0" w:leftChars="0" w:right="0" w:firstLine="624" w:firstLineChars="200"/>
        <w:jc w:val="both"/>
        <w:rPr>
          <w:rFonts w:hint="eastAsia" w:ascii="Times New Roman" w:hAnsi="Times New Roman" w:eastAsia="仿宋_GB2312" w:cs="仿宋_GB2312"/>
          <w:b w:val="0"/>
          <w:bCs/>
          <w:color w:val="000000" w:themeColor="text1"/>
          <w:spacing w:val="-4"/>
          <w:sz w:val="32"/>
          <w:szCs w:val="32"/>
          <w:lang w:val="en-US" w:eastAsia="zh-CN"/>
          <w14:textFill>
            <w14:solidFill>
              <w14:schemeClr w14:val="tx1"/>
            </w14:solidFill>
          </w14:textFill>
        </w:rPr>
      </w:pPr>
      <w:r>
        <w:rPr>
          <w:rFonts w:hint="eastAsia" w:ascii="Times New Roman" w:hAnsi="Times New Roman" w:eastAsia="仿宋_GB2312" w:cs="仿宋_GB2312"/>
          <w:spacing w:val="-4"/>
          <w:kern w:val="2"/>
          <w:sz w:val="32"/>
          <w:szCs w:val="32"/>
          <w:lang w:val="en-US" w:eastAsia="zh-CN" w:bidi="ar-SA"/>
        </w:rPr>
        <w:t>无。</w:t>
      </w: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仿宋_GB2312" w:cs="Times New Roman"/>
          <w:b w:val="0"/>
          <w:bCs/>
          <w:color w:val="000000" w:themeColor="text1"/>
          <w:spacing w:val="-4"/>
          <w:sz w:val="32"/>
          <w:szCs w:val="32"/>
          <w:lang w:val="en-US" w:eastAsia="zh-CN"/>
          <w14:textFill>
            <w14:solidFill>
              <w14:schemeClr w14:val="tx1"/>
            </w14:solidFill>
          </w14:textFill>
        </w:rPr>
      </w:pPr>
    </w:p>
    <w:p>
      <w:pPr>
        <w:keepNext w:val="0"/>
        <w:keepLines w:val="0"/>
        <w:pageBreakBefore w:val="0"/>
        <w:kinsoku/>
        <w:overflowPunct/>
        <w:topLinePunct w:val="0"/>
        <w:autoSpaceDN/>
        <w:bidi w:val="0"/>
        <w:spacing w:line="590" w:lineRule="exact"/>
        <w:ind w:firstLine="1560" w:firstLineChars="500"/>
        <w:jc w:val="both"/>
        <w:rPr>
          <w:rFonts w:hint="default" w:ascii="Times New Roman" w:hAnsi="Times New Roman" w:eastAsia="FangSong_GB2312"/>
          <w:spacing w:val="-4"/>
          <w:kern w:val="0"/>
          <w:sz w:val="32"/>
          <w:szCs w:val="32"/>
          <w:shd w:val="clear" w:color="auto" w:fill="FFFFFF"/>
          <w:lang w:val="en-US" w:eastAsia="zh-CN" w:bidi="ar"/>
        </w:rPr>
      </w:pPr>
    </w:p>
    <w:p>
      <w:pPr>
        <w:pStyle w:val="2"/>
        <w:rPr>
          <w:rFonts w:hint="eastAsia" w:ascii="Times New Roman" w:hAnsi="Times New Roman" w:eastAsia="仿宋_GB2312" w:cs="仿宋_GB2312"/>
          <w:sz w:val="32"/>
          <w:szCs w:val="32"/>
          <w:lang w:val="en-US" w:eastAsia="zh-CN"/>
        </w:rPr>
      </w:pPr>
    </w:p>
    <w:p>
      <w:pPr>
        <w:keepNext w:val="0"/>
        <w:keepLines w:val="0"/>
        <w:pageBreakBefore w:val="0"/>
        <w:widowControl/>
        <w:kinsoku/>
        <w:wordWrap w:val="0"/>
        <w:overflowPunct/>
        <w:topLinePunct w:val="0"/>
        <w:autoSpaceDE/>
        <w:autoSpaceDN/>
        <w:bidi w:val="0"/>
        <w:adjustRightInd w:val="0"/>
        <w:snapToGrid w:val="0"/>
        <w:spacing w:line="590" w:lineRule="exact"/>
        <w:ind w:right="0" w:rightChars="0"/>
        <w:jc w:val="right"/>
        <w:textAlignment w:val="auto"/>
        <w:rPr>
          <w:rFonts w:hint="default" w:ascii="Times New Roman" w:hAnsi="Times New Roman" w:eastAsia="仿宋_GB2312" w:cs="Times New Roman"/>
          <w:color w:val="auto"/>
          <w:spacing w:val="-4"/>
          <w:sz w:val="32"/>
          <w:szCs w:val="32"/>
          <w:highlight w:val="none"/>
          <w:u w:val="none"/>
          <w:shd w:val="clear" w:color="auto" w:fill="auto"/>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大英县商务和经济合作局    </w:t>
      </w:r>
    </w:p>
    <w:p>
      <w:pPr>
        <w:keepNext w:val="0"/>
        <w:keepLines w:val="0"/>
        <w:pageBreakBefore w:val="0"/>
        <w:widowControl w:val="0"/>
        <w:suppressLineNumbers w:val="0"/>
        <w:kinsoku/>
        <w:wordWrap w:val="0"/>
        <w:overflowPunct/>
        <w:topLinePunct w:val="0"/>
        <w:autoSpaceDE w:val="0"/>
        <w:autoSpaceDN/>
        <w:bidi w:val="0"/>
        <w:adjustRightInd w:val="0"/>
        <w:snapToGrid w:val="0"/>
        <w:spacing w:beforeAutospacing="0" w:afterAutospacing="0" w:line="590" w:lineRule="exact"/>
        <w:ind w:right="0"/>
        <w:jc w:val="right"/>
        <w:rPr>
          <w:rFonts w:hint="default" w:ascii="Times New Roman" w:hAnsi="Times New Roman" w:cs="Times New Roman"/>
          <w:spacing w:val="-4"/>
          <w:lang w:val="en-US" w:eastAsia="zh-CN"/>
        </w:rPr>
      </w:pPr>
      <w:r>
        <w:rPr>
          <w:rFonts w:hint="default" w:ascii="Times New Roman" w:hAnsi="Times New Roman" w:eastAsia="仿宋_GB2312" w:cs="Times New Roman"/>
          <w:color w:val="auto"/>
          <w:spacing w:val="-4"/>
          <w:sz w:val="32"/>
          <w:szCs w:val="32"/>
          <w:highlight w:val="none"/>
          <w:u w:val="none"/>
          <w:shd w:val="clear" w:color="auto" w:fill="auto"/>
          <w:lang w:val="en-US" w:eastAsia="zh-CN"/>
        </w:rPr>
        <w:t>20</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24</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年</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5</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月</w:t>
      </w:r>
      <w:r>
        <w:rPr>
          <w:rFonts w:hint="eastAsia" w:ascii="Times New Roman" w:hAnsi="Times New Roman" w:eastAsia="仿宋_GB2312" w:cs="Times New Roman"/>
          <w:color w:val="auto"/>
          <w:spacing w:val="-4"/>
          <w:sz w:val="32"/>
          <w:szCs w:val="32"/>
          <w:highlight w:val="none"/>
          <w:u w:val="none"/>
          <w:shd w:val="clear" w:color="auto" w:fill="auto"/>
          <w:lang w:val="en-US" w:eastAsia="zh-CN"/>
        </w:rPr>
        <w:t>6</w:t>
      </w:r>
      <w:r>
        <w:rPr>
          <w:rFonts w:hint="default" w:ascii="Times New Roman" w:hAnsi="Times New Roman" w:eastAsia="仿宋_GB2312" w:cs="Times New Roman"/>
          <w:color w:val="auto"/>
          <w:spacing w:val="-4"/>
          <w:sz w:val="32"/>
          <w:szCs w:val="32"/>
          <w:highlight w:val="none"/>
          <w:u w:val="none"/>
          <w:shd w:val="clear" w:color="auto" w:fill="auto"/>
          <w:lang w:val="en-US" w:eastAsia="zh-CN"/>
        </w:rPr>
        <w:t xml:space="preserve">日        </w:t>
      </w:r>
    </w:p>
    <w:sectPr>
      <w:footerReference r:id="rId3" w:type="default"/>
      <w:pgSz w:w="11906" w:h="16838"/>
      <w:pgMar w:top="1928" w:right="1474" w:bottom="1928" w:left="1587" w:header="851" w:footer="992" w:gutter="0"/>
      <w:pgNumType w:fmt="decimal" w:start="2"/>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ì.">
    <w:altName w:val="黑体"/>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angSong_GB2312">
    <w:altName w:val="仿宋_GB2312"/>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-457200</wp:posOffset>
              </wp:positionV>
              <wp:extent cx="1151890" cy="4000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51890" cy="4000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36pt;height:31.5pt;width:90.7pt;mso-position-horizontal:outside;mso-position-horizontal-relative:margin;z-index:251659264;mso-width-relative:page;mso-height-relative:page;" filled="f" stroked="f" coordsize="21600,21600" o:gfxdata="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YwHsLVAAAABwEAAA8AAAAAAAAAAQAgAAAAIgAAAGRycy9kb3ducmV2Lnht&#10;bFBLAQIUABQAAAAIAIdO4kD0y5dDNQIAAGIEAAAOAAAAAAAAAAEAIAAAACQBAABkcnMvZTJvRG9j&#10;LnhtbFBLBQYAAAAABgAGAFkBAADLBQAAAAA=&#10;">
              <v:fill on="f" focussize="0,0"/>
              <v:stroke on="f" weight="0.5pt"/>
              <v:imagedata o:title=""/>
              <o:lock v:ext="edit" aspectratio="f"/>
              <v:textbox inset="0mm,0mm,0mm,0mm">
                <w:txbxContent>
                  <w:p>
                    <w:pPr>
                      <w:pStyle w:val="8"/>
                      <w:keepNext w:val="0"/>
                      <w:keepLines w:val="0"/>
                      <w:pageBreakBefore w:val="0"/>
                      <w:widowControl/>
                      <w:kinsoku/>
                      <w:wordWrap/>
                      <w:overflowPunct/>
                      <w:topLinePunct w:val="0"/>
                      <w:bidi w:val="0"/>
                      <w:adjustRightInd/>
                      <w:snapToGrid w:val="0"/>
                      <w:spacing w:line="590" w:lineRule="exact"/>
                      <w:ind w:left="210" w:leftChars="100" w:right="210" w:rightChars="100"/>
                      <w:textAlignment w:val="baseline"/>
                      <w:rPr>
                        <w:rFonts w:hint="default" w:eastAsia="宋体"/>
                        <w:sz w:val="28"/>
                        <w:szCs w:val="28"/>
                        <w:lang w:val="en-US" w:eastAsia="zh-CN"/>
                      </w:rPr>
                    </w:pP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jYmFlYzg3MjgwODU1OWNhYWQyNDBiOWEwZjUwZTgifQ=="/>
  </w:docVars>
  <w:rsids>
    <w:rsidRoot w:val="00000000"/>
    <w:rsid w:val="00AA3CEC"/>
    <w:rsid w:val="01145609"/>
    <w:rsid w:val="01193968"/>
    <w:rsid w:val="01DF6163"/>
    <w:rsid w:val="02A66735"/>
    <w:rsid w:val="031A67DB"/>
    <w:rsid w:val="04BC470B"/>
    <w:rsid w:val="04BD4777"/>
    <w:rsid w:val="051C166B"/>
    <w:rsid w:val="05485881"/>
    <w:rsid w:val="055E32F7"/>
    <w:rsid w:val="07D77390"/>
    <w:rsid w:val="096536DF"/>
    <w:rsid w:val="097B59CD"/>
    <w:rsid w:val="0ABD0AEE"/>
    <w:rsid w:val="0AE20526"/>
    <w:rsid w:val="0B974D33"/>
    <w:rsid w:val="0BCE2CA4"/>
    <w:rsid w:val="0D230853"/>
    <w:rsid w:val="0DEC10D3"/>
    <w:rsid w:val="0E0D1416"/>
    <w:rsid w:val="0F15307B"/>
    <w:rsid w:val="100B7BD7"/>
    <w:rsid w:val="103F3D25"/>
    <w:rsid w:val="110F6424"/>
    <w:rsid w:val="11875DAA"/>
    <w:rsid w:val="11F8447C"/>
    <w:rsid w:val="12A8795F"/>
    <w:rsid w:val="12F504CF"/>
    <w:rsid w:val="15510782"/>
    <w:rsid w:val="15D82EC7"/>
    <w:rsid w:val="17143815"/>
    <w:rsid w:val="17471E3D"/>
    <w:rsid w:val="174A7237"/>
    <w:rsid w:val="18082163"/>
    <w:rsid w:val="19037FE5"/>
    <w:rsid w:val="19131119"/>
    <w:rsid w:val="193006AE"/>
    <w:rsid w:val="19616ABA"/>
    <w:rsid w:val="1AE33D18"/>
    <w:rsid w:val="1C4032FE"/>
    <w:rsid w:val="1D41732E"/>
    <w:rsid w:val="1D9E78F3"/>
    <w:rsid w:val="1EA21E17"/>
    <w:rsid w:val="1EC458CD"/>
    <w:rsid w:val="1EF06916"/>
    <w:rsid w:val="207B0778"/>
    <w:rsid w:val="207B3599"/>
    <w:rsid w:val="211E4781"/>
    <w:rsid w:val="21EB1616"/>
    <w:rsid w:val="236A005D"/>
    <w:rsid w:val="24A361D8"/>
    <w:rsid w:val="252C0F6A"/>
    <w:rsid w:val="25BA1A2C"/>
    <w:rsid w:val="2672725A"/>
    <w:rsid w:val="26AD4B6D"/>
    <w:rsid w:val="27651E6B"/>
    <w:rsid w:val="29431E0C"/>
    <w:rsid w:val="2BBC53B4"/>
    <w:rsid w:val="2C5D5807"/>
    <w:rsid w:val="2D12214D"/>
    <w:rsid w:val="2D834DF9"/>
    <w:rsid w:val="2D9D235F"/>
    <w:rsid w:val="2E29215B"/>
    <w:rsid w:val="2E7208DD"/>
    <w:rsid w:val="2F320885"/>
    <w:rsid w:val="2FE30343"/>
    <w:rsid w:val="30C24D10"/>
    <w:rsid w:val="312E32CE"/>
    <w:rsid w:val="31BC65A2"/>
    <w:rsid w:val="320C5FEA"/>
    <w:rsid w:val="32211AEF"/>
    <w:rsid w:val="32CE6D0B"/>
    <w:rsid w:val="335F00B6"/>
    <w:rsid w:val="33EF143A"/>
    <w:rsid w:val="3464257F"/>
    <w:rsid w:val="347E456C"/>
    <w:rsid w:val="348257DA"/>
    <w:rsid w:val="348477E9"/>
    <w:rsid w:val="355F7EFA"/>
    <w:rsid w:val="36BB1BF3"/>
    <w:rsid w:val="38455ACD"/>
    <w:rsid w:val="39382F3B"/>
    <w:rsid w:val="39767E7C"/>
    <w:rsid w:val="3A345DF9"/>
    <w:rsid w:val="3A405292"/>
    <w:rsid w:val="3A64017E"/>
    <w:rsid w:val="3B31058A"/>
    <w:rsid w:val="3C257287"/>
    <w:rsid w:val="3C850EBF"/>
    <w:rsid w:val="3CB66F99"/>
    <w:rsid w:val="3DA908AC"/>
    <w:rsid w:val="3DE713D4"/>
    <w:rsid w:val="3E3143FD"/>
    <w:rsid w:val="3E391C30"/>
    <w:rsid w:val="4005796A"/>
    <w:rsid w:val="40262D2C"/>
    <w:rsid w:val="40E15AB2"/>
    <w:rsid w:val="4290203A"/>
    <w:rsid w:val="42AF6323"/>
    <w:rsid w:val="42E12896"/>
    <w:rsid w:val="45066278"/>
    <w:rsid w:val="455A490C"/>
    <w:rsid w:val="45823519"/>
    <w:rsid w:val="45B918A8"/>
    <w:rsid w:val="45F1078A"/>
    <w:rsid w:val="46CE7C01"/>
    <w:rsid w:val="480037BE"/>
    <w:rsid w:val="495C2806"/>
    <w:rsid w:val="498A7E02"/>
    <w:rsid w:val="4A6022F2"/>
    <w:rsid w:val="4AC733C6"/>
    <w:rsid w:val="4AE66C9B"/>
    <w:rsid w:val="4BED60EF"/>
    <w:rsid w:val="4C835767"/>
    <w:rsid w:val="4D152177"/>
    <w:rsid w:val="4E8D742E"/>
    <w:rsid w:val="4E9B4950"/>
    <w:rsid w:val="4F8D65A8"/>
    <w:rsid w:val="4FDF5118"/>
    <w:rsid w:val="5054659D"/>
    <w:rsid w:val="51295B34"/>
    <w:rsid w:val="514C537E"/>
    <w:rsid w:val="52C553E8"/>
    <w:rsid w:val="53A75290"/>
    <w:rsid w:val="53DF24DA"/>
    <w:rsid w:val="54204120"/>
    <w:rsid w:val="55EB785C"/>
    <w:rsid w:val="56081147"/>
    <w:rsid w:val="56D13385"/>
    <w:rsid w:val="57362D58"/>
    <w:rsid w:val="57494FF9"/>
    <w:rsid w:val="575651A9"/>
    <w:rsid w:val="59280E6F"/>
    <w:rsid w:val="599E6336"/>
    <w:rsid w:val="5A960A17"/>
    <w:rsid w:val="5ABB5323"/>
    <w:rsid w:val="5AF3622C"/>
    <w:rsid w:val="5B331489"/>
    <w:rsid w:val="5D066D29"/>
    <w:rsid w:val="5D756040"/>
    <w:rsid w:val="5EF05EE3"/>
    <w:rsid w:val="5F12261D"/>
    <w:rsid w:val="5F441D8B"/>
    <w:rsid w:val="5F4B4EC7"/>
    <w:rsid w:val="5FC86518"/>
    <w:rsid w:val="60100FF8"/>
    <w:rsid w:val="601B6F8F"/>
    <w:rsid w:val="60C413D5"/>
    <w:rsid w:val="60E5134B"/>
    <w:rsid w:val="619A2136"/>
    <w:rsid w:val="61BE30C3"/>
    <w:rsid w:val="61D45648"/>
    <w:rsid w:val="62943029"/>
    <w:rsid w:val="63DA0F0F"/>
    <w:rsid w:val="63FD075A"/>
    <w:rsid w:val="6470717E"/>
    <w:rsid w:val="64B045D6"/>
    <w:rsid w:val="66786720"/>
    <w:rsid w:val="67CC2C65"/>
    <w:rsid w:val="699B6D7C"/>
    <w:rsid w:val="69D97992"/>
    <w:rsid w:val="69EC7BB7"/>
    <w:rsid w:val="6A8B2F63"/>
    <w:rsid w:val="6B8005EE"/>
    <w:rsid w:val="6B800DA2"/>
    <w:rsid w:val="6BDB3F90"/>
    <w:rsid w:val="6C1402F2"/>
    <w:rsid w:val="6C1A00FB"/>
    <w:rsid w:val="6CEB0F53"/>
    <w:rsid w:val="6E5B49FB"/>
    <w:rsid w:val="6F6E5ACD"/>
    <w:rsid w:val="6FB27894"/>
    <w:rsid w:val="6FDD600F"/>
    <w:rsid w:val="71010E89"/>
    <w:rsid w:val="72007CAB"/>
    <w:rsid w:val="72347A3D"/>
    <w:rsid w:val="728A58AF"/>
    <w:rsid w:val="72B621DC"/>
    <w:rsid w:val="73ED07EB"/>
    <w:rsid w:val="75267B11"/>
    <w:rsid w:val="758B4081"/>
    <w:rsid w:val="75C26102"/>
    <w:rsid w:val="77FE2FC7"/>
    <w:rsid w:val="78620F50"/>
    <w:rsid w:val="787E17C8"/>
    <w:rsid w:val="7B762E74"/>
    <w:rsid w:val="7BEC6BEE"/>
    <w:rsid w:val="7C0C5586"/>
    <w:rsid w:val="7E4E183B"/>
    <w:rsid w:val="7F385010"/>
    <w:rsid w:val="7F3916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20"/>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2">
    <w:name w:val="footer1"/>
    <w:basedOn w:val="1"/>
    <w:autoRedefine/>
    <w:qFormat/>
    <w:uiPriority w:val="0"/>
    <w:pPr>
      <w:tabs>
        <w:tab w:val="center" w:pos="4153"/>
        <w:tab w:val="right" w:pos="8306"/>
      </w:tabs>
      <w:snapToGrid w:val="0"/>
      <w:jc w:val="left"/>
    </w:pPr>
    <w:rPr>
      <w:sz w:val="18"/>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rPr>
  </w:style>
  <w:style w:type="paragraph" w:styleId="6">
    <w:name w:val="Plain Text"/>
    <w:basedOn w:val="1"/>
    <w:qFormat/>
    <w:uiPriority w:val="0"/>
    <w:rPr>
      <w:rFonts w:ascii="宋体" w:hAnsi="Courier New"/>
    </w:rPr>
  </w:style>
  <w:style w:type="paragraph" w:styleId="7">
    <w:name w:val="Body Text Indent 2"/>
    <w:basedOn w:val="1"/>
    <w:next w:val="1"/>
    <w:qFormat/>
    <w:uiPriority w:val="0"/>
    <w:pPr>
      <w:spacing w:after="120" w:line="480" w:lineRule="auto"/>
      <w:ind w:left="200" w:leftChars="200"/>
    </w:pPr>
    <w:rPr>
      <w:rFonts w:ascii="Calibri" w:hAnsi="Calibri" w:eastAsia="宋体" w:cs="宋体"/>
      <w:sz w:val="21"/>
      <w:szCs w:val="22"/>
    </w:rPr>
  </w:style>
  <w:style w:type="paragraph" w:styleId="8">
    <w:name w:val="footer"/>
    <w:basedOn w:val="1"/>
    <w:autoRedefine/>
    <w:qFormat/>
    <w:uiPriority w:val="0"/>
    <w:pPr>
      <w:tabs>
        <w:tab w:val="center" w:pos="4153"/>
        <w:tab w:val="right" w:pos="8306"/>
      </w:tabs>
      <w:snapToGrid w:val="0"/>
      <w:jc w:val="left"/>
      <w:textAlignment w:val="baseline"/>
    </w:pPr>
    <w:rPr>
      <w:rFonts w:ascii="Times New Roman" w:hAnsi="Times New Roman" w:eastAsia="宋体"/>
      <w:kern w:val="2"/>
      <w:sz w:val="18"/>
      <w:szCs w:val="18"/>
      <w:lang w:val="en-US" w:eastAsia="zh-CN" w:bidi="ar-SA"/>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2"/>
    <w:basedOn w:val="5"/>
    <w:autoRedefine/>
    <w:qFormat/>
    <w:uiPriority w:val="0"/>
    <w:pPr>
      <w:ind w:firstLine="420" w:firstLineChars="200"/>
    </w:pPr>
    <w:rPr>
      <w:rFonts w:ascii="Times New Roman" w:hAnsi="Times New Roman" w:eastAsia="宋体" w:cs="Times New Roman"/>
    </w:rPr>
  </w:style>
  <w:style w:type="paragraph" w:customStyle="1" w:styleId="14">
    <w:name w:val="常用样式（方正仿宋简）"/>
    <w:basedOn w:val="1"/>
    <w:next w:val="1"/>
    <w:autoRedefine/>
    <w:qFormat/>
    <w:uiPriority w:val="0"/>
    <w:pPr>
      <w:spacing w:line="560" w:lineRule="exact"/>
      <w:ind w:firstLine="640" w:firstLineChars="200"/>
    </w:pPr>
    <w:rPr>
      <w:rFonts w:eastAsia="方正仿宋简体"/>
      <w:sz w:val="32"/>
      <w:szCs w:val="21"/>
    </w:rPr>
  </w:style>
  <w:style w:type="paragraph" w:customStyle="1" w:styleId="15">
    <w:name w:val="Default"/>
    <w:autoRedefine/>
    <w:qFormat/>
    <w:uiPriority w:val="0"/>
    <w:pPr>
      <w:widowControl w:val="0"/>
      <w:autoSpaceDE w:val="0"/>
      <w:autoSpaceDN w:val="0"/>
      <w:adjustRightInd w:val="0"/>
    </w:pPr>
    <w:rPr>
      <w:rFonts w:ascii="..ì." w:hAnsi="..ì." w:eastAsia="..ì." w:cs="..ì."/>
      <w:color w:val="000000"/>
      <w:sz w:val="24"/>
      <w:szCs w:val="24"/>
      <w:lang w:val="en-US" w:eastAsia="zh-CN" w:bidi="ar-SA"/>
    </w:rPr>
  </w:style>
  <w:style w:type="paragraph" w:customStyle="1" w:styleId="16">
    <w:name w:val="章标题"/>
    <w:basedOn w:val="1"/>
    <w:next w:val="1"/>
    <w:autoRedefine/>
    <w:qFormat/>
    <w:uiPriority w:val="99"/>
    <w:pPr>
      <w:spacing w:before="158" w:after="153" w:line="323" w:lineRule="atLeast"/>
      <w:ind w:right="-120"/>
      <w:jc w:val="center"/>
      <w:textAlignment w:val="baseline"/>
    </w:pPr>
    <w:rPr>
      <w:color w:val="FF0000"/>
      <w:sz w:val="18"/>
    </w:rPr>
  </w:style>
  <w:style w:type="paragraph" w:customStyle="1" w:styleId="17">
    <w:name w:val="节标题"/>
    <w:basedOn w:val="1"/>
    <w:next w:val="1"/>
    <w:autoRedefine/>
    <w:qFormat/>
    <w:uiPriority w:val="99"/>
    <w:pPr>
      <w:spacing w:line="289" w:lineRule="atLeast"/>
      <w:jc w:val="center"/>
      <w:textAlignment w:val="baseline"/>
    </w:pPr>
    <w:rPr>
      <w:color w:val="000000"/>
      <w:sz w:val="28"/>
    </w:rPr>
  </w:style>
  <w:style w:type="paragraph" w:customStyle="1" w:styleId="18">
    <w:name w:val="UserStyle_0"/>
    <w:basedOn w:val="19"/>
    <w:autoRedefine/>
    <w:qFormat/>
    <w:uiPriority w:val="0"/>
    <w:pPr>
      <w:spacing w:after="120" w:line="240" w:lineRule="auto"/>
      <w:ind w:left="420" w:leftChars="200" w:firstLine="420" w:firstLineChars="200"/>
      <w:jc w:val="both"/>
      <w:textAlignment w:val="baseline"/>
    </w:pPr>
    <w:rPr>
      <w:rFonts w:ascii="宋体" w:hAnsi="宋体" w:eastAsia="宋体"/>
      <w:kern w:val="2"/>
      <w:sz w:val="21"/>
      <w:szCs w:val="24"/>
      <w:lang w:val="en-US" w:eastAsia="zh-CN" w:bidi="ar-SA"/>
    </w:rPr>
  </w:style>
  <w:style w:type="paragraph" w:customStyle="1" w:styleId="19">
    <w:name w:val="UserStyle_1"/>
    <w:basedOn w:val="1"/>
    <w:autoRedefine/>
    <w:qFormat/>
    <w:uiPriority w:val="0"/>
    <w:pPr>
      <w:spacing w:line="240" w:lineRule="auto"/>
      <w:ind w:firstLine="600" w:firstLineChars="200"/>
      <w:jc w:val="both"/>
      <w:textAlignment w:val="baseline"/>
    </w:pPr>
    <w:rPr>
      <w:rFonts w:ascii="宋体" w:hAnsi="宋体" w:eastAsia="仿宋_GB2312"/>
      <w:kern w:val="2"/>
      <w:sz w:val="30"/>
      <w:szCs w:val="24"/>
      <w:lang w:val="en-US" w:eastAsia="zh-CN" w:bidi="ar-SA"/>
    </w:rPr>
  </w:style>
  <w:style w:type="character" w:customStyle="1" w:styleId="20">
    <w:name w:val="NormalCharacter"/>
    <w:link w:val="1"/>
    <w:autoRedefine/>
    <w:semiHidden/>
    <w:qFormat/>
    <w:uiPriority w:val="0"/>
  </w:style>
  <w:style w:type="table" w:customStyle="1" w:styleId="21">
    <w:name w:val="TableNormal"/>
    <w:autoRedefine/>
    <w:semiHidden/>
    <w:qFormat/>
    <w:uiPriority w:val="0"/>
  </w:style>
  <w:style w:type="paragraph" w:customStyle="1" w:styleId="22">
    <w:name w:val="UserStyle_2"/>
    <w:basedOn w:val="1"/>
    <w:next w:val="1"/>
    <w:autoRedefine/>
    <w:qFormat/>
    <w:uiPriority w:val="0"/>
    <w:pPr>
      <w:spacing w:line="560" w:lineRule="exact"/>
      <w:ind w:firstLine="640" w:firstLineChars="200"/>
      <w:jc w:val="both"/>
      <w:textAlignment w:val="baseline"/>
    </w:pPr>
    <w:rPr>
      <w:rFonts w:ascii="Times New Roman" w:hAnsi="Times New Roman" w:eastAsia="方正仿宋简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1673</Words>
  <Characters>1804</Characters>
  <Lines>0</Lines>
  <Paragraphs>0</Paragraphs>
  <TotalTime>21</TotalTime>
  <ScaleCrop>false</ScaleCrop>
  <LinksUpToDate>false</LinksUpToDate>
  <CharactersWithSpaces>1816</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2020-05-14T06:18:00Z</dcterms:created>
  <dc:creator>Administrator</dc:creator>
  <cp:lastModifiedBy>zhulingxi3</cp:lastModifiedBy>
  <cp:lastPrinted>2024-05-06T02:45:00Z</cp:lastPrinted>
  <dcterms:modified xsi:type="dcterms:W3CDTF">2024-05-07T07:44:42Z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8FD8A7D7AEF147C08FE9615073409F50_13</vt:lpwstr>
  </property>
</Properties>
</file>